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adjustRightInd w:val="0"/>
        <w:snapToGrid w:val="0"/>
        <w:spacing w:line="592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评审方法和标准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综合评标法，最高得分中标。</w:t>
      </w:r>
    </w:p>
    <w:tbl>
      <w:tblPr>
        <w:tblStyle w:val="15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60"/>
        <w:gridCol w:w="5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评分内容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技术分（</w:t>
            </w:r>
            <w:r>
              <w:rPr>
                <w:rFonts w:hint="eastAsia" w:ascii="宋体" w:hAnsi="宋体"/>
                <w:sz w:val="24"/>
                <w:u w:val="single"/>
              </w:rPr>
              <w:t>7</w:t>
            </w:r>
            <w:r>
              <w:rPr>
                <w:rFonts w:ascii="宋体" w:hAnsi="宋体"/>
                <w:sz w:val="24"/>
                <w:u w:val="single"/>
              </w:rPr>
              <w:t>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基本资料（6）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营业执照复印件（3分）、</w:t>
            </w:r>
            <w:r>
              <w:rPr>
                <w:rFonts w:hint="eastAsia" w:ascii="宋体" w:hAnsi="宋体" w:cs="宋体"/>
                <w:sz w:val="24"/>
                <w:lang w:bidi="ar"/>
              </w:rPr>
              <w:t>《税务师事务所执业证书》</w:t>
            </w:r>
            <w:r>
              <w:rPr>
                <w:rFonts w:hint="eastAsia" w:ascii="宋体" w:hAnsi="宋体"/>
                <w:sz w:val="24"/>
              </w:rPr>
              <w:t>（3分）。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历史业绩（20分）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bookmarkStart w:id="0" w:name="OLE_LINK2"/>
            <w:r>
              <w:rPr>
                <w:rFonts w:hint="eastAsia" w:ascii="宋体" w:hAnsi="宋体" w:cs="宋体"/>
                <w:kern w:val="0"/>
                <w:sz w:val="24"/>
              </w:rPr>
              <w:t>投标人近三年来有房地产企业税务清算注销业绩服务每一项得10分，满分20分；非房地产企业税务清算注销业绩服务的每一项得5份，满分10分，以上两项业绩分数不得累加，没有的不得分。</w:t>
            </w:r>
            <w:r>
              <w:rPr>
                <w:rFonts w:hint="eastAsia" w:ascii="宋体" w:hAnsi="宋体" w:cs="宋体"/>
                <w:sz w:val="24"/>
              </w:rPr>
              <w:t>（以合同扫描件为准，每份合同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</w:rPr>
              <w:t>为一个有效业绩）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税务清查、清算服务方案（30分）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根据税务清查、清算服务方案中税务注销、清税证明、咨询等服务内容的条理性、针对性、可操作性评分；优区间20～30分,良区间10～19分,其余酌情0～9分。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项目负责人配置（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分）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项目负责人：为税务师且具有高级职称得6分；为税务师且具有中级职称得3分；为税务师得2分。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小组成员配置（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项目小组人员现场人员参与房地产企业注销签字的得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只</w:t>
            </w:r>
            <w:r>
              <w:rPr>
                <w:rFonts w:hint="eastAsia" w:ascii="宋体" w:hAnsi="宋体"/>
                <w:sz w:val="24"/>
              </w:rPr>
              <w:t>参与非房地产企业注销签字的得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分，没有不得分。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注：提供合同扫描件，若无法体现上述评审要素，须另行提供加盖业主公章的证明材料。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价格分（30 分）</w:t>
            </w:r>
          </w:p>
        </w:tc>
        <w:tc>
          <w:tcPr>
            <w:tcW w:w="6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8"/>
              <w:snapToGrid w:val="0"/>
              <w:spacing w:line="400" w:lineRule="exact"/>
              <w:ind w:right="-10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价格分统一取有效投标报价的平均值作为评标基准价，基准分30分，低于评标基准价不扣分，超过评标基准价的报价得分=（评标基准价/投标报价）*30，当报价超过最高限价或</w:t>
            </w:r>
            <w:r>
              <w:rPr>
                <w:rFonts w:hint="eastAsia" w:hAnsi="宋体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当报价得分为负时，均按0分计算，不作为有效投标报价。</w:t>
            </w:r>
          </w:p>
        </w:tc>
      </w:tr>
    </w:tbl>
    <w:p>
      <w:pPr>
        <w:spacing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8C"/>
    <w:rsid w:val="00157885"/>
    <w:rsid w:val="001E735D"/>
    <w:rsid w:val="001F228F"/>
    <w:rsid w:val="002C7DFE"/>
    <w:rsid w:val="004A0EC5"/>
    <w:rsid w:val="00535E8C"/>
    <w:rsid w:val="00677ECF"/>
    <w:rsid w:val="00706FF2"/>
    <w:rsid w:val="00D36394"/>
    <w:rsid w:val="00D866AC"/>
    <w:rsid w:val="00E95692"/>
    <w:rsid w:val="00FC4571"/>
    <w:rsid w:val="2CD248D4"/>
    <w:rsid w:val="48CA3D62"/>
    <w:rsid w:val="4ACF08B5"/>
    <w:rsid w:val="67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59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296</Characters>
  <Lines>32</Lines>
  <Paragraphs>23</Paragraphs>
  <TotalTime>16</TotalTime>
  <ScaleCrop>false</ScaleCrop>
  <LinksUpToDate>false</LinksUpToDate>
  <CharactersWithSpaces>566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2025-08-13T03:16:00Z</dcterms:created>
  <dc:creator>xt</dc:creator>
  <cp:lastModifiedBy>袁亮</cp:lastModifiedBy>
  <dcterms:modified xsi:type="dcterms:W3CDTF">2025-08-13T09:10:48Z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74F5F591ED914741A3AD90F13EF47752</vt:lpwstr>
  </property>
</Properties>
</file>