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庐阳区（阜阳北路西、合瓦路南）双荣大厦二层210室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eastAsia"/>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庐阳区（阜阳北路西、合瓦路南）双荣大厦二层210室。</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28.05</w:t>
      </w:r>
      <w:r>
        <w:rPr>
          <w:rFonts w:hint="eastAsia" w:ascii="仿宋_GB2312" w:hAnsi="Times New Roman" w:eastAsia="仿宋_GB2312"/>
          <w:color w:val="000000"/>
          <w:sz w:val="32"/>
          <w:szCs w:val="32"/>
          <w:lang w:eastAsia="zh-CN"/>
        </w:rPr>
        <w:t>平方米</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5722.2</w:t>
      </w:r>
      <w:r>
        <w:rPr>
          <w:rFonts w:hint="eastAsia" w:ascii="仿宋_GB2312" w:hAnsi="Times New Roman" w:eastAsia="仿宋_GB2312"/>
          <w:color w:val="000000"/>
          <w:sz w:val="32"/>
          <w:szCs w:val="32"/>
        </w:rPr>
        <w:t>元。</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租期一年，租期内租金价格无递增，无免租金装修期</w:t>
      </w:r>
      <w:r>
        <w:rPr>
          <w:rFonts w:hint="eastAsia" w:ascii="仿宋_GB2312" w:hAnsi="Times New Roman" w:eastAsia="仿宋_GB2312"/>
          <w:color w:val="000000"/>
          <w:sz w:val="32"/>
          <w:szCs w:val="32"/>
          <w:lang w:val="en-US" w:eastAsia="zh-CN"/>
        </w:rPr>
        <w:t>。</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w:t>
      </w:r>
      <w:bookmarkStart w:id="1" w:name="_GoBack"/>
      <w:bookmarkEnd w:id="1"/>
      <w:r>
        <w:rPr>
          <w:rFonts w:hint="eastAsia" w:ascii="仿宋_GB2312" w:hAnsi="Times New Roman" w:eastAsia="仿宋_GB2312"/>
          <w:color w:val="000000"/>
          <w:sz w:val="32"/>
          <w:szCs w:val="32"/>
        </w:rPr>
        <w:t>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w:t>
      </w:r>
      <w:r>
        <w:rPr>
          <w:rFonts w:hint="eastAsia" w:ascii="仿宋_GB2312" w:hAnsi="Times New Roman" w:eastAsia="仿宋_GB2312"/>
          <w:color w:val="000000"/>
          <w:sz w:val="32"/>
          <w:szCs w:val="32"/>
          <w:lang w:eastAsia="zh-CN"/>
        </w:rPr>
        <w:t>证件</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8月15日</w:t>
      </w:r>
      <w:r>
        <w:rPr>
          <w:rFonts w:hint="eastAsia" w:ascii="仿宋_GB2312" w:hAnsi="Times New Roman" w:eastAsia="仿宋_GB2312"/>
          <w:color w:val="000000"/>
          <w:sz w:val="32"/>
          <w:szCs w:val="32"/>
        </w:rPr>
        <w:t>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2025年8月11日</w:t>
      </w: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庐阳区（阜阳北路西、合瓦路南）双荣大厦二层210室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w:t>
            </w:r>
            <w:r>
              <w:rPr>
                <w:rFonts w:hint="eastAsia" w:ascii="仿宋_GB2312" w:hAnsi="Times New Roman" w:eastAsia="仿宋_GB2312"/>
                <w:color w:val="000000"/>
                <w:sz w:val="32"/>
                <w:szCs w:val="32"/>
                <w:lang w:eastAsia="zh-CN"/>
              </w:rPr>
              <w:t>平方米</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庐阳区（阜阳北路西、合瓦路南）双荣大厦二层210室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28.05</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5722.2</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D5C71BB"/>
    <w:rsid w:val="1E412CB1"/>
    <w:rsid w:val="1F0C07F6"/>
    <w:rsid w:val="1F693A18"/>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0D4E38"/>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9A96428"/>
    <w:rsid w:val="59DF6902"/>
    <w:rsid w:val="5A32574F"/>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D4E302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1084</Words>
  <Characters>1147</Characters>
  <Lines>0</Lines>
  <Paragraphs>0</Paragraphs>
  <TotalTime>25</TotalTime>
  <ScaleCrop>false</ScaleCrop>
  <LinksUpToDate>false</LinksUpToDate>
  <CharactersWithSpaces>1250</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2025-08-07T08:16:27Z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