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6C" w:rsidRDefault="00BB3C49" w:rsidP="0018246C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OLE_LINK8"/>
      <w:bookmarkStart w:id="1" w:name="OLE_LINK6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合肥兴泰金融控股（集团）有限公司</w:t>
      </w:r>
      <w:bookmarkEnd w:id="0"/>
    </w:p>
    <w:p w:rsidR="005F462D" w:rsidRPr="0018246C" w:rsidRDefault="00BB3C49" w:rsidP="0018246C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2025年下半年招聘</w:t>
      </w:r>
      <w:r w:rsidR="0018246C">
        <w:rPr>
          <w:rFonts w:ascii="方正小标宋简体" w:eastAsia="方正小标宋简体" w:hAnsi="方正小标宋简体" w:cs="方正小标宋简体" w:hint="eastAsia"/>
          <w:sz w:val="44"/>
          <w:szCs w:val="44"/>
        </w:rPr>
        <w:t>服务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项目采购文件</w:t>
      </w:r>
    </w:p>
    <w:bookmarkEnd w:id="1"/>
    <w:p w:rsidR="005F462D" w:rsidRDefault="00BB3C49">
      <w:pPr>
        <w:numPr>
          <w:ilvl w:val="0"/>
          <w:numId w:val="1"/>
        </w:numPr>
        <w:spacing w:beforeLines="100" w:before="312"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项目概况</w:t>
      </w:r>
      <w:bookmarkStart w:id="2" w:name="_GoBack"/>
      <w:bookmarkEnd w:id="2"/>
    </w:p>
    <w:p w:rsidR="005F462D" w:rsidRDefault="00BB3C49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bookmarkStart w:id="3" w:name="OLE_LINK7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合肥兴泰金融控股（集团）有限公司</w:t>
      </w:r>
      <w:bookmarkEnd w:id="3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计划开展2025</w:t>
      </w:r>
      <w:r w:rsidR="0042758D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下半年招聘工作，拟招聘</w:t>
      </w:r>
      <w:r w:rsidR="00636DFF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</w:t>
      </w:r>
      <w:r w:rsidR="00636DFF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人，项目服务内容包含不限于招聘公告发布、招聘网站首页广告栏宣传、招聘系统使用、定向邀约、简历初筛、笔试命题</w:t>
      </w:r>
      <w:bookmarkStart w:id="4" w:name="OLE_LINK1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组卷</w:t>
      </w:r>
      <w:bookmarkEnd w:id="4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、阅卷、测评、笔试通知、笔试现场组织以及场地租赁、背景调查等服务内容。</w:t>
      </w:r>
    </w:p>
    <w:p w:rsidR="005F462D" w:rsidRDefault="00BB3C49">
      <w:pPr>
        <w:spacing w:beforeLines="100" w:before="312"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二、具体要求</w:t>
      </w:r>
    </w:p>
    <w:p w:rsidR="00D9793B" w:rsidRDefault="00D9793B" w:rsidP="00D9793B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（一）</w:t>
      </w:r>
      <w:r w:rsidR="00BB3C49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首页广告栏宣传至少发布两次，每次不少于2周，需在响应文件中展示具体广告栏位置。</w:t>
      </w:r>
    </w:p>
    <w:p w:rsidR="00D9793B" w:rsidRDefault="00D9793B" w:rsidP="00D9793B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（二）</w:t>
      </w:r>
      <w:r w:rsidR="00BB3C49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招聘网站：实现个性化定制所需简历字段，支持上传学历证书、职业资格证书、职称证书等附件、导出excel及PDF版简历、公示成绩等功能。</w:t>
      </w:r>
    </w:p>
    <w:p w:rsidR="00D9793B" w:rsidRDefault="00D9793B" w:rsidP="00D9793B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（三）</w:t>
      </w:r>
      <w:r w:rsidR="00BB3C49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定向邀约：针对候选人参加笔试人员比例达不到1:8的岗位，响应人需进行简历挖掘，进行短信和电话邀约。</w:t>
      </w:r>
    </w:p>
    <w:p w:rsidR="00D9793B" w:rsidRDefault="00D9793B" w:rsidP="00D9793B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（四）</w:t>
      </w:r>
      <w:r w:rsidR="00BB3C49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简历初筛：针对年龄、学历等基本条件进行初筛。</w:t>
      </w:r>
    </w:p>
    <w:p w:rsidR="005F462D" w:rsidRDefault="00D9793B" w:rsidP="00D9793B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（五）</w:t>
      </w:r>
      <w:r w:rsidR="00BB3C49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试卷：根据岗位要求以及我方提供的出题要求出题，要求试题结合企业、行业实际，客观题和主观题合理占比，部分试卷要求主观题占比高。响应人有义务保证试卷的唯一性、专业性、有效性，保证试题来源的合理性及时效性，并对试题内容有保密义务。</w:t>
      </w:r>
    </w:p>
    <w:p w:rsidR="005F462D" w:rsidRDefault="00D9793B" w:rsidP="00D9793B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（六）</w:t>
      </w:r>
      <w:r w:rsidR="00BB3C49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笔试：响应人负责通知笔试人员、提供场地（首选学校）、进行现场组织及安排监考人员。响应人需提前安排好座位，座位号、考场号标签及考场示意图、考场路线图等，此项目中座位号、考场号、考场示意图、考场路线图等纳入考场费综合报价。</w:t>
      </w:r>
    </w:p>
    <w:p w:rsidR="005F462D" w:rsidRDefault="00D9793B" w:rsidP="00D9793B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（七）</w:t>
      </w:r>
      <w:r w:rsidR="00BB3C49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阅卷：响应人需成立阅卷组，阅卷老师在阅卷全过程中坚持按统一尺度把握标准,不得违背标准、徇私判分，不得敷衍了事、随意判分，不得私拆装订。应在笔试结束后5个工作日提交成绩，成绩需提交盖章版本及excel电子版。</w:t>
      </w:r>
    </w:p>
    <w:p w:rsidR="005F462D" w:rsidRDefault="00D9793B" w:rsidP="00D9793B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（八）</w:t>
      </w:r>
      <w:r w:rsidR="00BB3C49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测评：响应人负责向进入面试环节的人员发布职业性格测评邀请，收集汇总测评结果。</w:t>
      </w:r>
    </w:p>
    <w:p w:rsidR="005F462D" w:rsidRDefault="00D9793B" w:rsidP="00D9793B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（九）</w:t>
      </w:r>
      <w:r w:rsidR="00BB3C49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背景调查：对入围背景调查环节的人员开展背景调查，社会招聘人员背调至少最近2段工作经历，重点核实身份信息、教育背景、工作经历、能力素质、遵纪守法等方面情况，收集无犯罪记录证明、征信报告等内容，对应届毕业生需收集学校出具的个人表现鉴定材料。</w:t>
      </w:r>
    </w:p>
    <w:p w:rsidR="005F462D" w:rsidRDefault="00BB3C49">
      <w:pPr>
        <w:spacing w:beforeLines="100" w:before="312"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三、响应人资格</w:t>
      </w:r>
    </w:p>
    <w:p w:rsidR="005F462D" w:rsidRDefault="00D9793B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（一）</w:t>
      </w:r>
      <w:r w:rsidR="00BB3C49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具有独立承担民事责任的能力（独立法人主体或经总公司授权的分支机构）；分公司参加投标的，须在响应文件中提供总公司营业执照、分公司营业执照及总公司授权分公司参加投标的授权书扫描件。</w:t>
      </w:r>
    </w:p>
    <w:p w:rsidR="005F462D" w:rsidRDefault="00D9793B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（二）响应人或响应人总公司具有《人力资源服务许可证》。</w:t>
      </w:r>
    </w:p>
    <w:p w:rsidR="005F462D" w:rsidRDefault="00D9793B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（三）本项目不接受联合体投标。</w:t>
      </w:r>
    </w:p>
    <w:p w:rsidR="005F462D" w:rsidRDefault="00D9793B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（四）具有国有企业招聘服务经验。</w:t>
      </w:r>
    </w:p>
    <w:p w:rsidR="005F462D" w:rsidRDefault="00D9793B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（五）</w:t>
      </w:r>
      <w:r w:rsidR="00BB3C49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法律、行政法规规定的其他条件。</w:t>
      </w:r>
    </w:p>
    <w:p w:rsidR="005F462D" w:rsidRDefault="00BB3C49">
      <w:pPr>
        <w:spacing w:beforeLines="100" w:before="312"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四、报价要求</w:t>
      </w:r>
    </w:p>
    <w:p w:rsidR="005F462D" w:rsidRDefault="00BB3C49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本项目预算为</w:t>
      </w: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0万元，响应人报价不得超过项目预算。本项目采用投标总价及综合单价报价方式，该综合单价包含但不限于上述第二条约定的项目服务全部费用。为便于计算报价得分，投标报价表中所定数量均为暂定量，合同期内按实际发生量计算，单价不变。报价表格式如下：</w:t>
      </w:r>
    </w:p>
    <w:tbl>
      <w:tblPr>
        <w:tblpPr w:leftFromText="180" w:rightFromText="180" w:vertAnchor="text" w:horzAnchor="page" w:tblpX="1327" w:tblpY="569"/>
        <w:tblOverlap w:val="never"/>
        <w:tblW w:w="9395" w:type="dxa"/>
        <w:tblLayout w:type="fixed"/>
        <w:tblLook w:val="04A0" w:firstRow="1" w:lastRow="0" w:firstColumn="1" w:lastColumn="0" w:noHBand="0" w:noVBand="1"/>
      </w:tblPr>
      <w:tblGrid>
        <w:gridCol w:w="904"/>
        <w:gridCol w:w="2919"/>
        <w:gridCol w:w="1341"/>
        <w:gridCol w:w="756"/>
        <w:gridCol w:w="1104"/>
        <w:gridCol w:w="2371"/>
      </w:tblGrid>
      <w:tr w:rsidR="005F462D" w:rsidTr="007324C2">
        <w:trPr>
          <w:trHeight w:val="45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服务项目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合计金额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备注</w:t>
            </w:r>
          </w:p>
        </w:tc>
      </w:tr>
      <w:tr w:rsidR="005F462D" w:rsidTr="007324C2">
        <w:trPr>
          <w:trHeight w:val="46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bookmarkStart w:id="5" w:name="OLE_LINK2" w:colFirst="4" w:colLast="4"/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发布招聘公告、广告栏不少于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周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462D" w:rsidRDefault="005F462D" w:rsidP="007324C2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F462D" w:rsidTr="007324C2">
        <w:trPr>
          <w:trHeight w:val="49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招聘系统使用、网页设计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62D" w:rsidRDefault="005F462D" w:rsidP="007324C2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F462D" w:rsidTr="007324C2">
        <w:trPr>
          <w:trHeight w:val="4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笔试试卷组卷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C73F38" w:rsidP="007324C2">
            <w:pPr>
              <w:widowControl/>
              <w:spacing w:line="276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86771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62D" w:rsidRDefault="005F462D" w:rsidP="007324C2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F462D" w:rsidTr="007324C2">
        <w:trPr>
          <w:trHeight w:val="50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笔试考场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86771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62D" w:rsidRDefault="00BB3C49" w:rsidP="007324C2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暂时按照</w:t>
            </w:r>
            <w:r w:rsidR="00586771">
              <w:rPr>
                <w:rFonts w:ascii="Times New Roman" w:eastAsia="仿宋_GB2312" w:hAnsi="Times New Roman" w:cs="Times New Roman"/>
                <w:szCs w:val="21"/>
              </w:rPr>
              <w:t>480</w:t>
            </w:r>
            <w:r>
              <w:rPr>
                <w:rFonts w:ascii="Times New Roman" w:eastAsia="仿宋_GB2312" w:hAnsi="Times New Roman" w:cs="Times New Roman"/>
                <w:szCs w:val="21"/>
              </w:rPr>
              <w:t>人确定教室数量</w:t>
            </w:r>
          </w:p>
        </w:tc>
      </w:tr>
      <w:tr w:rsidR="005F462D" w:rsidTr="007324C2">
        <w:trPr>
          <w:trHeight w:val="49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试卷印制、答题纸等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86771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62D" w:rsidRDefault="005F462D" w:rsidP="007324C2">
            <w:pPr>
              <w:widowControl/>
              <w:spacing w:line="276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F462D" w:rsidTr="007324C2">
        <w:trPr>
          <w:trHeight w:val="49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监考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86771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62D" w:rsidRDefault="005F462D" w:rsidP="007324C2">
            <w:pPr>
              <w:widowControl/>
              <w:spacing w:line="276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F462D" w:rsidTr="007324C2">
        <w:trPr>
          <w:trHeight w:val="49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阅卷统分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86771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62D" w:rsidRDefault="005F462D" w:rsidP="007324C2">
            <w:pPr>
              <w:widowControl/>
              <w:spacing w:line="276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F462D" w:rsidTr="007324C2">
        <w:trPr>
          <w:trHeight w:val="67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测评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86771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62D" w:rsidRDefault="00BB3C49" w:rsidP="007324C2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对</w:t>
            </w:r>
            <w:r>
              <w:rPr>
                <w:rFonts w:ascii="Times New Roman" w:eastAsia="仿宋_GB2312" w:cs="Times New Roman" w:hint="eastAsia"/>
                <w:color w:val="auto"/>
                <w:sz w:val="21"/>
                <w:szCs w:val="21"/>
              </w:rPr>
              <w:t>入围面试人员</w:t>
            </w: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进行测评，暂按</w:t>
            </w:r>
            <w:r w:rsidR="00586771"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130</w:t>
            </w: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人次报价</w:t>
            </w:r>
          </w:p>
        </w:tc>
      </w:tr>
      <w:tr w:rsidR="005F462D" w:rsidTr="007324C2">
        <w:trPr>
          <w:trHeight w:val="67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背景调查（应届生）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C73F38" w:rsidP="007324C2">
            <w:pPr>
              <w:widowControl/>
              <w:spacing w:line="276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636DFF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62D" w:rsidRDefault="00BB3C49" w:rsidP="007324C2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暂时按照</w:t>
            </w:r>
            <w:r w:rsidR="00636DFF"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2</w:t>
            </w: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名应届生的数量进行背景调查</w:t>
            </w:r>
          </w:p>
        </w:tc>
      </w:tr>
      <w:tr w:rsidR="005F462D" w:rsidTr="007324C2">
        <w:trPr>
          <w:trHeight w:val="67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背景调查（非应届生）至少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段经历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636DFF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62D" w:rsidRDefault="00BB3C49" w:rsidP="007324C2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Times New Roman" w:eastAsia="仿宋_GB2312" w:cs="Times New Roman"/>
                <w:color w:val="auto"/>
                <w:sz w:val="21"/>
                <w:szCs w:val="21"/>
              </w:rPr>
            </w:pPr>
            <w:bookmarkStart w:id="6" w:name="OLE_LINK4"/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暂时按照</w:t>
            </w:r>
            <w:r w:rsidR="00636DFF"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18</w:t>
            </w: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名非应届生的数量进行背景调查</w:t>
            </w:r>
            <w:bookmarkEnd w:id="6"/>
          </w:p>
        </w:tc>
      </w:tr>
      <w:bookmarkEnd w:id="5"/>
      <w:tr w:rsidR="005F462D" w:rsidTr="007324C2">
        <w:trPr>
          <w:trHeight w:val="1887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BB3C49" w:rsidP="007324C2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lastRenderedPageBreak/>
              <w:t>合计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462D" w:rsidRDefault="005F462D" w:rsidP="007324C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62D" w:rsidRDefault="00BB3C49" w:rsidP="007324C2">
            <w:pPr>
              <w:spacing w:line="276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最终结算金额不得高于本项目的项目预算</w:t>
            </w:r>
            <w:r w:rsidR="00C73F38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万元，结算费用以实际人数为准</w:t>
            </w:r>
          </w:p>
        </w:tc>
      </w:tr>
    </w:tbl>
    <w:p w:rsidR="005F462D" w:rsidRDefault="00BB3C49">
      <w:pPr>
        <w:spacing w:beforeLines="100" w:before="312"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五、服务期限</w:t>
      </w:r>
    </w:p>
    <w:p w:rsidR="005F462D" w:rsidRDefault="00BB3C49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每批公告发布后，所有相关招聘环节需于</w:t>
      </w: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2个半月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内完成，响应人做好时间进度安排。</w:t>
      </w:r>
    </w:p>
    <w:p w:rsidR="005F462D" w:rsidRDefault="00BB3C49">
      <w:pPr>
        <w:pStyle w:val="2"/>
        <w:numPr>
          <w:ilvl w:val="0"/>
          <w:numId w:val="2"/>
        </w:numPr>
        <w:spacing w:after="0" w:line="592" w:lineRule="exact"/>
        <w:ind w:left="561"/>
        <w:rPr>
          <w:rFonts w:ascii="黑体" w:eastAsia="黑体" w:hAnsi="黑体" w:cs="黑体"/>
          <w:b w:val="0"/>
          <w:snapToGrid w:val="0"/>
          <w:kern w:val="0"/>
          <w:szCs w:val="32"/>
        </w:rPr>
      </w:pPr>
      <w:r>
        <w:rPr>
          <w:rFonts w:ascii="黑体" w:eastAsia="黑体" w:hAnsi="黑体" w:cs="黑体" w:hint="eastAsia"/>
          <w:b w:val="0"/>
          <w:snapToGrid w:val="0"/>
          <w:kern w:val="0"/>
          <w:szCs w:val="32"/>
        </w:rPr>
        <w:t>支付方式</w:t>
      </w:r>
    </w:p>
    <w:p w:rsidR="005F462D" w:rsidRDefault="00BB3C49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项目所有环节完成后，开具增值税专用发票后10个工作日内支付所有费用。</w:t>
      </w:r>
    </w:p>
    <w:p w:rsidR="005F462D" w:rsidRDefault="00BB3C49">
      <w:pPr>
        <w:spacing w:beforeLines="100" w:before="312"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七、评标方法</w:t>
      </w:r>
    </w:p>
    <w:p w:rsidR="005F462D" w:rsidRDefault="00BB3C49">
      <w:pPr>
        <w:spacing w:line="592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本项目采用综合评分法，</w:t>
      </w:r>
      <w:r w:rsidR="00DD2ED1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评审将设置述标环节，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由响应人讲解应答文件</w:t>
      </w:r>
      <w:r w:rsidR="00DD2ED1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（不超过1</w:t>
      </w:r>
      <w:r w:rsidR="00DD2ED1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5</w:t>
      </w:r>
      <w:r w:rsidR="00DD2ED1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分钟）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，展示招聘方案，我方组织</w:t>
      </w:r>
      <w:r w:rsidR="00242FC0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评审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小组对方案质量及报价进行综合评审，总分为100分。</w:t>
      </w:r>
    </w:p>
    <w:tbl>
      <w:tblPr>
        <w:tblW w:w="9391" w:type="dxa"/>
        <w:jc w:val="center"/>
        <w:tblBorders>
          <w:top w:val="single" w:sz="18" w:space="0" w:color="auto"/>
          <w:left w:val="single" w:sz="12" w:space="0" w:color="000000"/>
          <w:bottom w:val="single" w:sz="18" w:space="0" w:color="auto"/>
          <w:right w:val="single" w:sz="12" w:space="0" w:color="000000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444"/>
        <w:gridCol w:w="1109"/>
        <w:gridCol w:w="5548"/>
      </w:tblGrid>
      <w:tr w:rsidR="005F462D">
        <w:trPr>
          <w:trHeight w:val="551"/>
          <w:jc w:val="center"/>
        </w:trPr>
        <w:tc>
          <w:tcPr>
            <w:tcW w:w="3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Default="00BB3C49" w:rsidP="00E64AB3">
            <w:pPr>
              <w:pStyle w:val="Default"/>
              <w:spacing w:line="592" w:lineRule="exact"/>
              <w:jc w:val="center"/>
              <w:rPr>
                <w:rFonts w:asci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b/>
                <w:bCs/>
                <w:color w:val="auto"/>
                <w:sz w:val="21"/>
                <w:szCs w:val="21"/>
              </w:rPr>
              <w:t>评审因素与评分值</w:t>
            </w:r>
          </w:p>
        </w:tc>
        <w:tc>
          <w:tcPr>
            <w:tcW w:w="5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Default="00BB3C49">
            <w:pPr>
              <w:pStyle w:val="Default"/>
              <w:spacing w:line="592" w:lineRule="exact"/>
              <w:jc w:val="center"/>
              <w:rPr>
                <w:rFonts w:asci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b/>
                <w:bCs/>
                <w:color w:val="auto"/>
                <w:sz w:val="21"/>
                <w:szCs w:val="21"/>
              </w:rPr>
              <w:t>评分标准</w:t>
            </w:r>
          </w:p>
        </w:tc>
      </w:tr>
      <w:tr w:rsidR="005F462D">
        <w:trPr>
          <w:trHeight w:val="478"/>
          <w:jc w:val="center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Default="00BB3C49">
            <w:pPr>
              <w:pStyle w:val="Default"/>
              <w:spacing w:line="592" w:lineRule="exact"/>
              <w:jc w:val="center"/>
              <w:rPr>
                <w:rFonts w:asci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Default="00BB3C49">
            <w:pPr>
              <w:pStyle w:val="Default"/>
              <w:spacing w:line="592" w:lineRule="exact"/>
              <w:jc w:val="center"/>
              <w:rPr>
                <w:rFonts w:asci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b/>
                <w:bCs/>
                <w:color w:val="auto"/>
                <w:sz w:val="21"/>
                <w:szCs w:val="21"/>
              </w:rPr>
              <w:t>评审因素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Default="00BB3C49">
            <w:pPr>
              <w:pStyle w:val="Default"/>
              <w:spacing w:line="592" w:lineRule="exact"/>
              <w:jc w:val="center"/>
              <w:rPr>
                <w:rFonts w:asci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b/>
                <w:bCs/>
                <w:color w:val="auto"/>
                <w:sz w:val="21"/>
                <w:szCs w:val="21"/>
              </w:rPr>
              <w:t>标准分</w:t>
            </w:r>
          </w:p>
        </w:tc>
        <w:tc>
          <w:tcPr>
            <w:tcW w:w="5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Default="005F462D">
            <w:pPr>
              <w:pStyle w:val="Default"/>
              <w:spacing w:line="592" w:lineRule="exact"/>
              <w:rPr>
                <w:rFonts w:asci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:rsidR="005F462D" w:rsidTr="00E64AB3">
        <w:trPr>
          <w:trHeight w:val="3103"/>
          <w:jc w:val="center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 w:rsidP="00E64AB3">
            <w:pPr>
              <w:pStyle w:val="Default"/>
              <w:spacing w:line="276" w:lineRule="auto"/>
              <w:jc w:val="center"/>
              <w:rPr>
                <w:rFonts w:ascii="Times New Roman" w:eastAsia="仿宋_GB2312" w:cs="Times New Roman"/>
                <w:color w:val="auto"/>
              </w:rPr>
            </w:pPr>
            <w:r w:rsidRPr="00E64AB3">
              <w:rPr>
                <w:rFonts w:ascii="Times New Roman" w:eastAsia="仿宋_GB2312" w:cs="Times New Roman"/>
                <w:color w:val="auto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 w:rsidP="00E64AB3">
            <w:pPr>
              <w:pStyle w:val="Default"/>
              <w:spacing w:line="276" w:lineRule="auto"/>
              <w:jc w:val="center"/>
              <w:rPr>
                <w:rFonts w:ascii="Times New Roman" w:eastAsia="仿宋_GB2312" w:cs="Times New Roman"/>
                <w:color w:val="auto"/>
              </w:rPr>
            </w:pPr>
            <w:r w:rsidRPr="00E64AB3">
              <w:rPr>
                <w:rFonts w:ascii="Times New Roman" w:eastAsia="仿宋_GB2312" w:cs="Times New Roman"/>
                <w:color w:val="auto"/>
              </w:rPr>
              <w:t>报价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 w:rsidP="00E64AB3">
            <w:pPr>
              <w:pStyle w:val="Default"/>
              <w:spacing w:line="276" w:lineRule="auto"/>
              <w:jc w:val="center"/>
              <w:rPr>
                <w:rFonts w:ascii="Times New Roman" w:eastAsia="仿宋_GB2312" w:cs="Times New Roman"/>
                <w:color w:val="auto"/>
              </w:rPr>
            </w:pPr>
            <w:r w:rsidRPr="00E64AB3">
              <w:rPr>
                <w:rFonts w:ascii="Times New Roman" w:eastAsia="仿宋_GB2312" w:cs="Times New Roman"/>
                <w:color w:val="auto"/>
              </w:rPr>
              <w:t>20</w:t>
            </w:r>
          </w:p>
        </w:tc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 w:rsidP="00E64AB3">
            <w:pPr>
              <w:pStyle w:val="Default"/>
              <w:spacing w:line="276" w:lineRule="auto"/>
              <w:rPr>
                <w:rFonts w:ascii="Times New Roman" w:eastAsia="仿宋_GB2312" w:cs="Times New Roman"/>
                <w:color w:val="auto"/>
              </w:rPr>
            </w:pPr>
            <w:r w:rsidRPr="00E64AB3">
              <w:rPr>
                <w:rFonts w:ascii="Times New Roman" w:eastAsia="仿宋_GB2312" w:cs="Times New Roman"/>
                <w:color w:val="auto"/>
              </w:rPr>
              <w:t>评标基准价为所有响应人有效报价的平均报价。</w:t>
            </w:r>
          </w:p>
          <w:p w:rsidR="005F462D" w:rsidRPr="00E64AB3" w:rsidRDefault="00BB3C49" w:rsidP="00E64AB3">
            <w:pPr>
              <w:pStyle w:val="Default"/>
              <w:spacing w:line="276" w:lineRule="auto"/>
              <w:rPr>
                <w:rFonts w:ascii="Times New Roman" w:eastAsia="仿宋_GB2312" w:cs="Times New Roman"/>
                <w:color w:val="auto"/>
              </w:rPr>
            </w:pPr>
            <w:r w:rsidRPr="00E64AB3">
              <w:rPr>
                <w:rFonts w:ascii="Times New Roman" w:eastAsia="仿宋_GB2312" w:cs="Times New Roman"/>
                <w:color w:val="auto"/>
              </w:rPr>
              <w:t>报价等于评标基准价</w:t>
            </w:r>
            <w:r w:rsidR="00287A85" w:rsidRPr="00E64AB3">
              <w:rPr>
                <w:rFonts w:ascii="Times New Roman" w:eastAsia="仿宋_GB2312" w:cs="Times New Roman" w:hint="eastAsia"/>
                <w:color w:val="auto"/>
              </w:rPr>
              <w:t>时</w:t>
            </w:r>
            <w:r w:rsidRPr="00E64AB3">
              <w:rPr>
                <w:rFonts w:ascii="Times New Roman" w:eastAsia="仿宋_GB2312" w:cs="Times New Roman"/>
                <w:color w:val="auto"/>
              </w:rPr>
              <w:t>，为满分</w:t>
            </w:r>
            <w:r w:rsidRPr="00E64AB3">
              <w:rPr>
                <w:rFonts w:ascii="Times New Roman" w:eastAsia="仿宋_GB2312" w:cs="Times New Roman"/>
                <w:color w:val="auto"/>
              </w:rPr>
              <w:t>20</w:t>
            </w:r>
            <w:r w:rsidRPr="00E64AB3">
              <w:rPr>
                <w:rFonts w:ascii="Times New Roman" w:eastAsia="仿宋_GB2312" w:cs="Times New Roman"/>
                <w:color w:val="auto"/>
              </w:rPr>
              <w:t>分；</w:t>
            </w:r>
          </w:p>
          <w:p w:rsidR="005F462D" w:rsidRPr="00E64AB3" w:rsidRDefault="00BB3C49" w:rsidP="00E64AB3">
            <w:pPr>
              <w:pStyle w:val="Default"/>
              <w:spacing w:line="276" w:lineRule="auto"/>
              <w:rPr>
                <w:rFonts w:ascii="Times New Roman" w:eastAsia="仿宋_GB2312" w:cs="Times New Roman"/>
                <w:color w:val="auto"/>
              </w:rPr>
            </w:pPr>
            <w:r w:rsidRPr="00E64AB3">
              <w:rPr>
                <w:rFonts w:ascii="Times New Roman" w:eastAsia="仿宋_GB2312" w:cs="Times New Roman"/>
                <w:color w:val="auto"/>
              </w:rPr>
              <w:t>报价比评标基准价每高</w:t>
            </w:r>
            <w:r w:rsidR="00287A85" w:rsidRPr="00E64AB3">
              <w:rPr>
                <w:rFonts w:ascii="Times New Roman" w:eastAsia="仿宋_GB2312" w:cs="Times New Roman" w:hint="eastAsia"/>
                <w:color w:val="auto"/>
              </w:rPr>
              <w:t>1</w:t>
            </w:r>
            <w:r w:rsidR="00287A85" w:rsidRPr="00E64AB3">
              <w:rPr>
                <w:rFonts w:ascii="Times New Roman" w:eastAsia="仿宋_GB2312" w:cs="Times New Roman"/>
                <w:color w:val="auto"/>
              </w:rPr>
              <w:t>%</w:t>
            </w:r>
            <w:r w:rsidR="00287A85" w:rsidRPr="00E64AB3">
              <w:rPr>
                <w:rFonts w:ascii="Times New Roman" w:eastAsia="仿宋_GB2312" w:cs="Times New Roman" w:hint="eastAsia"/>
                <w:color w:val="auto"/>
              </w:rPr>
              <w:t>时，</w:t>
            </w:r>
            <w:r w:rsidR="00287A85" w:rsidRPr="00E64AB3">
              <w:rPr>
                <w:rFonts w:ascii="Times New Roman" w:eastAsia="仿宋_GB2312" w:cs="Times New Roman"/>
                <w:color w:val="auto"/>
              </w:rPr>
              <w:t>减</w:t>
            </w:r>
            <w:r w:rsidR="00287A85" w:rsidRPr="00E64AB3">
              <w:rPr>
                <w:rFonts w:ascii="Times New Roman" w:eastAsia="仿宋_GB2312" w:cs="Times New Roman"/>
                <w:color w:val="auto"/>
              </w:rPr>
              <w:t>0.3</w:t>
            </w:r>
            <w:r w:rsidR="00287A85" w:rsidRPr="00E64AB3">
              <w:rPr>
                <w:rFonts w:ascii="Times New Roman" w:eastAsia="仿宋_GB2312" w:cs="Times New Roman"/>
                <w:color w:val="auto"/>
              </w:rPr>
              <w:t>分</w:t>
            </w:r>
            <w:r w:rsidR="00287A85" w:rsidRPr="00E64AB3">
              <w:rPr>
                <w:rFonts w:ascii="Times New Roman" w:eastAsia="仿宋_GB2312" w:cs="Times New Roman" w:hint="eastAsia"/>
                <w:color w:val="auto"/>
              </w:rPr>
              <w:t>；</w:t>
            </w:r>
            <w:r w:rsidRPr="00E64AB3">
              <w:rPr>
                <w:rFonts w:ascii="Times New Roman" w:eastAsia="仿宋_GB2312" w:cs="Times New Roman"/>
                <w:color w:val="auto"/>
              </w:rPr>
              <w:t>低</w:t>
            </w:r>
            <w:r w:rsidRPr="00E64AB3">
              <w:rPr>
                <w:rFonts w:ascii="Times New Roman" w:eastAsia="仿宋_GB2312" w:cs="Times New Roman"/>
                <w:color w:val="auto"/>
              </w:rPr>
              <w:t>1%</w:t>
            </w:r>
            <w:r w:rsidRPr="00E64AB3">
              <w:rPr>
                <w:rFonts w:ascii="Times New Roman" w:eastAsia="仿宋_GB2312" w:cs="Times New Roman"/>
                <w:color w:val="auto"/>
              </w:rPr>
              <w:t>时</w:t>
            </w:r>
            <w:r w:rsidR="00287A85" w:rsidRPr="00E64AB3">
              <w:rPr>
                <w:rFonts w:ascii="Times New Roman" w:eastAsia="仿宋_GB2312" w:cs="Times New Roman" w:hint="eastAsia"/>
                <w:color w:val="auto"/>
              </w:rPr>
              <w:t>，减</w:t>
            </w:r>
            <w:r w:rsidR="00287A85" w:rsidRPr="00E64AB3">
              <w:rPr>
                <w:rFonts w:ascii="Times New Roman" w:eastAsia="仿宋_GB2312" w:cs="Times New Roman"/>
                <w:color w:val="auto"/>
              </w:rPr>
              <w:t>0.2</w:t>
            </w:r>
            <w:r w:rsidR="00287A85" w:rsidRPr="00E64AB3">
              <w:rPr>
                <w:rFonts w:ascii="Times New Roman" w:eastAsia="仿宋_GB2312" w:cs="Times New Roman" w:hint="eastAsia"/>
                <w:color w:val="auto"/>
              </w:rPr>
              <w:t>分。</w:t>
            </w:r>
          </w:p>
          <w:p w:rsidR="005F462D" w:rsidRPr="00E64AB3" w:rsidRDefault="00BB3C49" w:rsidP="00E64AB3">
            <w:pPr>
              <w:pStyle w:val="Default"/>
              <w:spacing w:line="276" w:lineRule="auto"/>
              <w:rPr>
                <w:rFonts w:ascii="Times New Roman" w:eastAsia="仿宋_GB2312" w:cs="Times New Roman"/>
                <w:color w:val="auto"/>
              </w:rPr>
            </w:pPr>
            <w:r w:rsidRPr="00E64AB3">
              <w:rPr>
                <w:rFonts w:ascii="Times New Roman" w:eastAsia="仿宋_GB2312" w:cs="Times New Roman"/>
                <w:color w:val="auto"/>
              </w:rPr>
              <w:t>计算公式为：若报价高于基准价，则报价得分</w:t>
            </w:r>
            <w:r w:rsidRPr="00E64AB3">
              <w:rPr>
                <w:rFonts w:ascii="Times New Roman" w:eastAsia="仿宋_GB2312" w:cs="Times New Roman"/>
                <w:color w:val="auto"/>
              </w:rPr>
              <w:t>=20-</w:t>
            </w:r>
            <w:r w:rsidRPr="00E64AB3">
              <w:rPr>
                <w:rFonts w:ascii="Times New Roman" w:eastAsia="仿宋_GB2312" w:cs="Times New Roman"/>
                <w:color w:val="auto"/>
              </w:rPr>
              <w:t>（（报价</w:t>
            </w:r>
            <w:r w:rsidRPr="00E64AB3">
              <w:rPr>
                <w:rFonts w:ascii="Times New Roman" w:eastAsia="仿宋_GB2312" w:cs="Times New Roman"/>
                <w:color w:val="auto"/>
              </w:rPr>
              <w:t>-</w:t>
            </w:r>
            <w:r w:rsidRPr="00E64AB3">
              <w:rPr>
                <w:rFonts w:ascii="Times New Roman" w:eastAsia="仿宋_GB2312" w:cs="Times New Roman"/>
                <w:color w:val="auto"/>
              </w:rPr>
              <w:t>基准价）</w:t>
            </w:r>
            <w:r w:rsidRPr="00E64AB3">
              <w:rPr>
                <w:rFonts w:ascii="Times New Roman" w:eastAsia="仿宋_GB2312" w:cs="Times New Roman"/>
                <w:color w:val="auto"/>
              </w:rPr>
              <w:t>/</w:t>
            </w:r>
            <w:r w:rsidRPr="00E64AB3">
              <w:rPr>
                <w:rFonts w:ascii="Times New Roman" w:eastAsia="仿宋_GB2312" w:cs="Times New Roman"/>
                <w:color w:val="auto"/>
              </w:rPr>
              <w:t>基准价</w:t>
            </w:r>
            <w:r w:rsidRPr="00E64AB3">
              <w:rPr>
                <w:rFonts w:ascii="Times New Roman" w:eastAsia="仿宋_GB2312" w:cs="Times New Roman"/>
                <w:color w:val="auto"/>
              </w:rPr>
              <w:t>*0.3*100</w:t>
            </w:r>
            <w:r w:rsidRPr="00E64AB3">
              <w:rPr>
                <w:rFonts w:ascii="Times New Roman" w:eastAsia="仿宋_GB2312" w:cs="Times New Roman"/>
                <w:color w:val="auto"/>
              </w:rPr>
              <w:t>）</w:t>
            </w:r>
          </w:p>
          <w:p w:rsidR="005F462D" w:rsidRPr="00E64AB3" w:rsidRDefault="00BB3C49" w:rsidP="00E64AB3">
            <w:pPr>
              <w:pStyle w:val="Default"/>
              <w:spacing w:line="276" w:lineRule="auto"/>
              <w:rPr>
                <w:rFonts w:ascii="Times New Roman" w:eastAsia="仿宋_GB2312" w:cs="Times New Roman"/>
                <w:color w:val="auto"/>
              </w:rPr>
            </w:pPr>
            <w:r w:rsidRPr="00E64AB3">
              <w:rPr>
                <w:rFonts w:ascii="Times New Roman" w:eastAsia="仿宋_GB2312" w:cs="Times New Roman"/>
                <w:color w:val="auto"/>
              </w:rPr>
              <w:t>若报价低于基准价，则报价得分</w:t>
            </w:r>
            <w:r w:rsidRPr="00E64AB3">
              <w:rPr>
                <w:rFonts w:ascii="Times New Roman" w:eastAsia="仿宋_GB2312" w:cs="Times New Roman"/>
                <w:color w:val="auto"/>
              </w:rPr>
              <w:t>=20+</w:t>
            </w:r>
            <w:r w:rsidRPr="00E64AB3">
              <w:rPr>
                <w:rFonts w:ascii="Times New Roman" w:eastAsia="仿宋_GB2312" w:cs="Times New Roman"/>
                <w:color w:val="auto"/>
              </w:rPr>
              <w:t>（（报价</w:t>
            </w:r>
            <w:r w:rsidRPr="00E64AB3">
              <w:rPr>
                <w:rFonts w:ascii="Times New Roman" w:eastAsia="仿宋_GB2312" w:cs="Times New Roman"/>
                <w:color w:val="auto"/>
              </w:rPr>
              <w:t>-</w:t>
            </w:r>
            <w:r w:rsidRPr="00E64AB3">
              <w:rPr>
                <w:rFonts w:ascii="Times New Roman" w:eastAsia="仿宋_GB2312" w:cs="Times New Roman"/>
                <w:color w:val="auto"/>
              </w:rPr>
              <w:t>基准价）</w:t>
            </w:r>
            <w:r w:rsidRPr="00E64AB3">
              <w:rPr>
                <w:rFonts w:ascii="Times New Roman" w:eastAsia="仿宋_GB2312" w:cs="Times New Roman"/>
                <w:color w:val="auto"/>
              </w:rPr>
              <w:t>/</w:t>
            </w:r>
            <w:r w:rsidRPr="00E64AB3">
              <w:rPr>
                <w:rFonts w:ascii="Times New Roman" w:eastAsia="仿宋_GB2312" w:cs="Times New Roman"/>
                <w:color w:val="auto"/>
              </w:rPr>
              <w:t>基准价</w:t>
            </w:r>
            <w:r w:rsidRPr="00E64AB3">
              <w:rPr>
                <w:rFonts w:ascii="Times New Roman" w:eastAsia="仿宋_GB2312" w:cs="Times New Roman"/>
                <w:color w:val="auto"/>
              </w:rPr>
              <w:t>*0.</w:t>
            </w:r>
            <w:r w:rsidRPr="00E64AB3">
              <w:rPr>
                <w:rFonts w:ascii="Times New Roman" w:eastAsia="仿宋_GB2312" w:cs="Times New Roman" w:hint="eastAsia"/>
                <w:color w:val="auto"/>
              </w:rPr>
              <w:t>2</w:t>
            </w:r>
            <w:r w:rsidRPr="00E64AB3">
              <w:rPr>
                <w:rFonts w:ascii="Times New Roman" w:eastAsia="仿宋_GB2312" w:cs="Times New Roman"/>
                <w:color w:val="auto"/>
              </w:rPr>
              <w:t>*100</w:t>
            </w:r>
            <w:r w:rsidRPr="00E64AB3">
              <w:rPr>
                <w:rFonts w:ascii="Times New Roman" w:eastAsia="仿宋_GB2312" w:cs="Times New Roman"/>
                <w:color w:val="auto"/>
              </w:rPr>
              <w:t>）</w:t>
            </w:r>
          </w:p>
        </w:tc>
      </w:tr>
      <w:tr w:rsidR="005F462D">
        <w:trPr>
          <w:trHeight w:val="371"/>
          <w:jc w:val="center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E64AB3" w:rsidP="00E64AB3">
            <w:pPr>
              <w:pStyle w:val="Default"/>
              <w:spacing w:line="276" w:lineRule="auto"/>
              <w:jc w:val="center"/>
              <w:rPr>
                <w:rFonts w:ascii="Times New Roman" w:eastAsia="仿宋_GB2312" w:cs="Times New Roman"/>
                <w:color w:val="auto"/>
              </w:rPr>
            </w:pPr>
            <w:r>
              <w:rPr>
                <w:rFonts w:ascii="Times New Roman" w:eastAsia="仿宋_GB2312" w:cs="Times New Roman"/>
                <w:color w:val="auto"/>
              </w:rPr>
              <w:t>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 w:rsidP="00E64AB3">
            <w:pPr>
              <w:widowControl/>
              <w:adjustRightInd w:val="0"/>
              <w:snapToGrid w:val="0"/>
              <w:spacing w:line="276" w:lineRule="auto"/>
              <w:ind w:leftChars="-52" w:left="-109"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实施方案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 w:rsidP="00E64AB3">
            <w:pPr>
              <w:widowControl/>
              <w:adjustRightInd w:val="0"/>
              <w:snapToGrid w:val="0"/>
              <w:spacing w:line="276" w:lineRule="auto"/>
              <w:ind w:leftChars="-52" w:left="-109"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 w:rsidP="00E64AB3">
            <w:pPr>
              <w:pStyle w:val="Default"/>
              <w:spacing w:line="276" w:lineRule="auto"/>
              <w:rPr>
                <w:rFonts w:ascii="Times New Roman" w:eastAsia="仿宋_GB2312" w:cs="Times New Roman"/>
                <w:color w:val="auto"/>
              </w:rPr>
            </w:pPr>
            <w:r w:rsidRPr="00E64AB3">
              <w:rPr>
                <w:rFonts w:ascii="Times New Roman" w:eastAsia="仿宋_GB2312" w:cs="Times New Roman"/>
                <w:color w:val="auto"/>
              </w:rPr>
              <w:t>响应人对招聘公告发布、简历筛选、资格审查、笔试命题组卷、测评、笔试、监考、阅卷、背景调查</w:t>
            </w:r>
            <w:r w:rsidRPr="00E64AB3">
              <w:rPr>
                <w:rFonts w:ascii="Times New Roman" w:eastAsia="仿宋_GB2312" w:cs="Times New Roman"/>
                <w:color w:val="auto"/>
              </w:rPr>
              <w:lastRenderedPageBreak/>
              <w:t>等内容</w:t>
            </w:r>
            <w:r w:rsidRPr="00E64AB3">
              <w:rPr>
                <w:rFonts w:ascii="Times New Roman" w:eastAsia="仿宋_GB2312" w:cs="Times New Roman" w:hint="eastAsia"/>
                <w:color w:val="auto"/>
              </w:rPr>
              <w:t>提供</w:t>
            </w:r>
            <w:r w:rsidRPr="00E64AB3">
              <w:rPr>
                <w:rFonts w:ascii="Times New Roman" w:eastAsia="仿宋_GB2312" w:cs="Times New Roman"/>
                <w:color w:val="auto"/>
              </w:rPr>
              <w:t>方案</w:t>
            </w:r>
            <w:r w:rsidR="008A35FD" w:rsidRPr="00E64AB3">
              <w:rPr>
                <w:rFonts w:ascii="Times New Roman" w:eastAsia="仿宋_GB2312" w:cs="Times New Roman" w:hint="eastAsia"/>
                <w:color w:val="auto"/>
              </w:rPr>
              <w:t>并展示</w:t>
            </w:r>
            <w:r w:rsidRPr="00E64AB3">
              <w:rPr>
                <w:rFonts w:ascii="Times New Roman" w:eastAsia="仿宋_GB2312" w:cs="Times New Roman"/>
                <w:color w:val="auto"/>
              </w:rPr>
              <w:t>。</w:t>
            </w:r>
          </w:p>
          <w:p w:rsidR="005F462D" w:rsidRPr="00E64AB3" w:rsidRDefault="00BB3C49" w:rsidP="00E64AB3">
            <w:pPr>
              <w:pStyle w:val="Default"/>
              <w:spacing w:line="276" w:lineRule="auto"/>
              <w:rPr>
                <w:rFonts w:ascii="Times New Roman" w:eastAsia="仿宋_GB2312" w:cs="Times New Roman"/>
                <w:color w:val="auto"/>
              </w:rPr>
            </w:pPr>
            <w:r w:rsidRPr="00E64AB3">
              <w:rPr>
                <w:rFonts w:ascii="Times New Roman" w:eastAsia="仿宋_GB2312" w:cs="Times New Roman"/>
                <w:color w:val="auto"/>
              </w:rPr>
              <w:t>较优的，得</w:t>
            </w:r>
            <w:r w:rsidRPr="00E64AB3">
              <w:rPr>
                <w:rFonts w:ascii="Times New Roman" w:eastAsia="仿宋_GB2312" w:cs="Times New Roman"/>
                <w:color w:val="auto"/>
              </w:rPr>
              <w:t>16≤F≤25</w:t>
            </w:r>
            <w:r w:rsidRPr="00E64AB3">
              <w:rPr>
                <w:rFonts w:ascii="Times New Roman" w:eastAsia="仿宋_GB2312" w:cs="Times New Roman"/>
                <w:color w:val="auto"/>
              </w:rPr>
              <w:t>分；良好的，得</w:t>
            </w:r>
            <w:r w:rsidRPr="00E64AB3">
              <w:rPr>
                <w:rFonts w:ascii="Times New Roman" w:eastAsia="仿宋_GB2312" w:cs="Times New Roman"/>
                <w:color w:val="auto"/>
              </w:rPr>
              <w:t>8≤F</w:t>
            </w:r>
            <w:r w:rsidRPr="00E64AB3">
              <w:rPr>
                <w:rFonts w:ascii="Times New Roman" w:eastAsia="仿宋_GB2312" w:cs="Times New Roman"/>
                <w:color w:val="auto"/>
              </w:rPr>
              <w:t>＜</w:t>
            </w:r>
            <w:r w:rsidRPr="00E64AB3">
              <w:rPr>
                <w:rFonts w:ascii="Times New Roman" w:eastAsia="仿宋_GB2312" w:cs="Times New Roman"/>
                <w:color w:val="auto"/>
              </w:rPr>
              <w:t>16</w:t>
            </w:r>
            <w:r w:rsidR="00024512">
              <w:rPr>
                <w:rFonts w:ascii="Times New Roman" w:eastAsia="仿宋_GB2312" w:cs="Times New Roman"/>
                <w:color w:val="auto"/>
              </w:rPr>
              <w:t>分</w:t>
            </w:r>
            <w:r w:rsidR="00024512">
              <w:rPr>
                <w:rFonts w:ascii="Times New Roman" w:eastAsia="仿宋_GB2312" w:cs="Times New Roman" w:hint="eastAsia"/>
                <w:color w:val="auto"/>
              </w:rPr>
              <w:t>；</w:t>
            </w:r>
            <w:r w:rsidRPr="00E64AB3">
              <w:rPr>
                <w:rFonts w:ascii="Times New Roman" w:eastAsia="仿宋_GB2312" w:cs="Times New Roman"/>
                <w:color w:val="auto"/>
              </w:rPr>
              <w:t>一般的，得</w:t>
            </w:r>
            <w:r w:rsidRPr="00E64AB3">
              <w:rPr>
                <w:rFonts w:ascii="Times New Roman" w:eastAsia="仿宋_GB2312" w:cs="Times New Roman"/>
                <w:color w:val="auto"/>
              </w:rPr>
              <w:t>1≤F</w:t>
            </w:r>
            <w:r w:rsidRPr="00E64AB3">
              <w:rPr>
                <w:rFonts w:ascii="Times New Roman" w:eastAsia="仿宋_GB2312" w:cs="Times New Roman"/>
                <w:color w:val="auto"/>
              </w:rPr>
              <w:t>＜</w:t>
            </w:r>
            <w:r w:rsidRPr="00E64AB3">
              <w:rPr>
                <w:rFonts w:ascii="Times New Roman" w:eastAsia="仿宋_GB2312" w:cs="Times New Roman"/>
                <w:color w:val="auto"/>
              </w:rPr>
              <w:t>8</w:t>
            </w:r>
            <w:r w:rsidR="00024512">
              <w:rPr>
                <w:rFonts w:ascii="Times New Roman" w:eastAsia="仿宋_GB2312" w:cs="Times New Roman"/>
                <w:color w:val="auto"/>
              </w:rPr>
              <w:t>分</w:t>
            </w:r>
            <w:r w:rsidR="00024512">
              <w:rPr>
                <w:rFonts w:ascii="Times New Roman" w:eastAsia="仿宋_GB2312" w:cs="Times New Roman" w:hint="eastAsia"/>
                <w:color w:val="auto"/>
              </w:rPr>
              <w:t>；</w:t>
            </w:r>
            <w:r w:rsidR="008A35FD" w:rsidRPr="00E64AB3">
              <w:rPr>
                <w:rFonts w:ascii="Times New Roman" w:eastAsia="仿宋_GB2312" w:cs="Times New Roman" w:hint="eastAsia"/>
                <w:color w:val="auto"/>
              </w:rPr>
              <w:t>其他或</w:t>
            </w:r>
            <w:r w:rsidRPr="00E64AB3">
              <w:rPr>
                <w:rFonts w:ascii="Times New Roman" w:eastAsia="仿宋_GB2312" w:cs="Times New Roman"/>
                <w:color w:val="auto"/>
              </w:rPr>
              <w:t>未提供服务方案的不得分。</w:t>
            </w:r>
          </w:p>
          <w:p w:rsidR="008A35FD" w:rsidRPr="00E64AB3" w:rsidRDefault="008A35FD" w:rsidP="00E64AB3">
            <w:pPr>
              <w:pStyle w:val="Default"/>
              <w:spacing w:line="276" w:lineRule="auto"/>
              <w:rPr>
                <w:rFonts w:ascii="Times New Roman" w:eastAsia="仿宋_GB2312" w:cs="Times New Roman"/>
                <w:color w:val="auto"/>
              </w:rPr>
            </w:pPr>
            <w:r w:rsidRPr="00E64AB3">
              <w:rPr>
                <w:rFonts w:ascii="Times New Roman" w:eastAsia="仿宋_GB2312" w:cs="Times New Roman" w:hint="eastAsia"/>
                <w:color w:val="auto"/>
              </w:rPr>
              <w:t>注：响应人具有不超过</w:t>
            </w:r>
            <w:r w:rsidRPr="00E64AB3">
              <w:rPr>
                <w:rFonts w:ascii="Times New Roman" w:eastAsia="仿宋_GB2312" w:cs="Times New Roman" w:hint="eastAsia"/>
                <w:color w:val="auto"/>
              </w:rPr>
              <w:t>15</w:t>
            </w:r>
            <w:r w:rsidRPr="00E64AB3">
              <w:rPr>
                <w:rFonts w:ascii="Times New Roman" w:eastAsia="仿宋_GB2312" w:cs="Times New Roman" w:hint="eastAsia"/>
                <w:color w:val="auto"/>
              </w:rPr>
              <w:t>分钟的方案介绍演示时间，未参加或放弃方案介绍的，本项不得分。演示时间超过</w:t>
            </w:r>
            <w:r w:rsidRPr="00E64AB3">
              <w:rPr>
                <w:rFonts w:ascii="Times New Roman" w:eastAsia="仿宋_GB2312" w:cs="Times New Roman" w:hint="eastAsia"/>
                <w:color w:val="auto"/>
              </w:rPr>
              <w:t>1</w:t>
            </w:r>
            <w:r w:rsidRPr="00E64AB3">
              <w:rPr>
                <w:rFonts w:ascii="Times New Roman" w:eastAsia="仿宋_GB2312" w:cs="Times New Roman"/>
                <w:color w:val="auto"/>
              </w:rPr>
              <w:t>5</w:t>
            </w:r>
            <w:r w:rsidRPr="00E64AB3">
              <w:rPr>
                <w:rFonts w:ascii="Times New Roman" w:eastAsia="仿宋_GB2312" w:cs="Times New Roman" w:hint="eastAsia"/>
                <w:color w:val="auto"/>
              </w:rPr>
              <w:t>分钟应立刻停止演示。</w:t>
            </w:r>
          </w:p>
        </w:tc>
      </w:tr>
      <w:tr w:rsidR="005F462D" w:rsidTr="00024512">
        <w:trPr>
          <w:trHeight w:val="1140"/>
          <w:jc w:val="center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>
            <w:pPr>
              <w:pStyle w:val="Default"/>
              <w:spacing w:line="592" w:lineRule="exact"/>
              <w:jc w:val="center"/>
              <w:rPr>
                <w:rFonts w:ascii="Times New Roman" w:eastAsia="仿宋_GB2312" w:cs="Times New Roman"/>
                <w:color w:val="auto"/>
              </w:rPr>
            </w:pPr>
            <w:r w:rsidRPr="00E64AB3">
              <w:rPr>
                <w:rFonts w:ascii="Times New Roman" w:eastAsia="仿宋_GB2312" w:cs="Times New Roman"/>
                <w:color w:val="auto"/>
              </w:rPr>
              <w:lastRenderedPageBreak/>
              <w:t>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>
            <w:pPr>
              <w:widowControl/>
              <w:adjustRightInd w:val="0"/>
              <w:snapToGrid w:val="0"/>
              <w:spacing w:line="592" w:lineRule="exact"/>
              <w:ind w:leftChars="-52" w:left="-109"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组卷人员实力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>
            <w:pPr>
              <w:widowControl/>
              <w:adjustRightInd w:val="0"/>
              <w:snapToGrid w:val="0"/>
              <w:spacing w:line="592" w:lineRule="exact"/>
              <w:ind w:leftChars="-52" w:left="-109"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 w:rsidP="00E64AB3">
            <w:pPr>
              <w:widowControl/>
              <w:adjustRightInd w:val="0"/>
              <w:snapToGrid w:val="0"/>
              <w:spacing w:line="276" w:lineRule="auto"/>
              <w:ind w:leftChars="-52" w:left="-109"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列备选组卷人员基本情况（至少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4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名），熟悉的专业领域（无需写出姓名），由</w:t>
            </w:r>
            <w:r w:rsidR="00242FC0" w:rsidRPr="00E64AB3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评审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小组进行综合评分。</w:t>
            </w:r>
          </w:p>
        </w:tc>
      </w:tr>
      <w:tr w:rsidR="005F462D" w:rsidTr="00024512">
        <w:trPr>
          <w:trHeight w:val="2120"/>
          <w:jc w:val="center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 w:rsidP="00E64AB3">
            <w:pPr>
              <w:widowControl/>
              <w:adjustRightInd w:val="0"/>
              <w:snapToGrid w:val="0"/>
              <w:spacing w:line="276" w:lineRule="auto"/>
              <w:ind w:leftChars="-52" w:left="-109"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 w:rsidP="00E64AB3">
            <w:pPr>
              <w:widowControl/>
              <w:adjustRightInd w:val="0"/>
              <w:snapToGrid w:val="0"/>
              <w:spacing w:line="276" w:lineRule="auto"/>
              <w:ind w:leftChars="-52" w:left="-109"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项目团队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 w:rsidP="00E64AB3">
            <w:pPr>
              <w:widowControl/>
              <w:adjustRightInd w:val="0"/>
              <w:snapToGrid w:val="0"/>
              <w:spacing w:line="276" w:lineRule="auto"/>
              <w:ind w:leftChars="-52" w:left="-109"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 w:rsidP="00E64AB3">
            <w:pPr>
              <w:widowControl/>
              <w:adjustRightInd w:val="0"/>
              <w:snapToGrid w:val="0"/>
              <w:spacing w:line="276" w:lineRule="auto"/>
              <w:ind w:leftChars="-52" w:left="-109"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根据本项目特点，报价人组建稳定的项目团队（不含监考人员），明确项目经理及核心人员（包括运营团队等）构成，并提供项目经理、运营团队等的履历说明、相关服务案例，评判项目团队的知识、技能、经验和资历背景是否能很好</w:t>
            </w:r>
            <w:r w:rsidR="00024512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地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满足服务要求。</w:t>
            </w:r>
          </w:p>
        </w:tc>
      </w:tr>
      <w:tr w:rsidR="005F462D">
        <w:trPr>
          <w:trHeight w:val="592"/>
          <w:jc w:val="center"/>
        </w:trPr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 w:rsidP="00E64AB3">
            <w:pPr>
              <w:widowControl/>
              <w:adjustRightInd w:val="0"/>
              <w:snapToGrid w:val="0"/>
              <w:spacing w:line="276" w:lineRule="auto"/>
              <w:ind w:leftChars="-52" w:left="-109"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 w:rsidP="00E64AB3">
            <w:pPr>
              <w:widowControl/>
              <w:adjustRightInd w:val="0"/>
              <w:snapToGrid w:val="0"/>
              <w:spacing w:line="276" w:lineRule="auto"/>
              <w:ind w:leftChars="-52" w:left="-109"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响应人业绩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 w:rsidP="00E64AB3">
            <w:pPr>
              <w:widowControl/>
              <w:adjustRightInd w:val="0"/>
              <w:snapToGrid w:val="0"/>
              <w:spacing w:line="276" w:lineRule="auto"/>
              <w:ind w:leftChars="-52" w:left="-109"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5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Pr="00E64AB3" w:rsidRDefault="00BB3C49" w:rsidP="00E64AB3">
            <w:pPr>
              <w:widowControl/>
              <w:adjustRightInd w:val="0"/>
              <w:snapToGrid w:val="0"/>
              <w:spacing w:line="276" w:lineRule="auto"/>
              <w:ind w:leftChars="-52" w:left="-109"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响应人自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2022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日以来具有国有企业招聘服务项目业绩（以合同签订时间为准）：单个合同金额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≥20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万元，每提供一份业绩，得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分，未提供的不得分。</w:t>
            </w:r>
          </w:p>
          <w:p w:rsidR="00024512" w:rsidRDefault="00BB3C49" w:rsidP="00E64AB3">
            <w:pPr>
              <w:widowControl/>
              <w:adjustRightInd w:val="0"/>
              <w:snapToGrid w:val="0"/>
              <w:spacing w:line="276" w:lineRule="auto"/>
              <w:ind w:leftChars="-52" w:left="-109"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注：本项满分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15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分，同一业绩不重复计分。</w:t>
            </w:r>
          </w:p>
          <w:p w:rsidR="005F462D" w:rsidRPr="00E64AB3" w:rsidRDefault="00BB3C49" w:rsidP="00E64AB3">
            <w:pPr>
              <w:widowControl/>
              <w:adjustRightInd w:val="0"/>
              <w:snapToGrid w:val="0"/>
              <w:spacing w:line="276" w:lineRule="auto"/>
              <w:ind w:leftChars="-52" w:left="-109"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业绩证明</w:t>
            </w:r>
            <w:r w:rsidR="00024512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：</w:t>
            </w:r>
            <w:r w:rsidRPr="00E64AB3">
              <w:rPr>
                <w:rFonts w:ascii="Times New Roman" w:eastAsia="仿宋_GB2312" w:hAnsi="Times New Roman" w:cs="Times New Roman"/>
                <w:kern w:val="0"/>
                <w:sz w:val="24"/>
              </w:rPr>
              <w:t>响应文件中须提供业绩合同扫描件。</w:t>
            </w:r>
          </w:p>
        </w:tc>
      </w:tr>
      <w:tr w:rsidR="005F462D">
        <w:trPr>
          <w:trHeight w:val="592"/>
          <w:jc w:val="center"/>
        </w:trPr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62D" w:rsidRDefault="005F462D">
            <w:pPr>
              <w:pStyle w:val="Default"/>
              <w:spacing w:line="592" w:lineRule="exact"/>
              <w:jc w:val="center"/>
              <w:rPr>
                <w:rFonts w:ascii="仿宋_GB2312" w:eastAsia="仿宋_GB2312"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462D" w:rsidRDefault="005F462D">
            <w:pPr>
              <w:pStyle w:val="Default"/>
              <w:spacing w:line="592" w:lineRule="exact"/>
              <w:jc w:val="center"/>
              <w:rPr>
                <w:rFonts w:ascii="仿宋_GB2312" w:eastAsia="仿宋_GB2312"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462D" w:rsidRDefault="005F462D">
            <w:pPr>
              <w:pStyle w:val="Default"/>
              <w:spacing w:line="592" w:lineRule="exact"/>
              <w:jc w:val="center"/>
              <w:rPr>
                <w:rFonts w:ascii="仿宋_GB2312" w:eastAsia="仿宋_GB2312"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5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Default="005F462D">
            <w:pPr>
              <w:pStyle w:val="Default"/>
              <w:spacing w:line="592" w:lineRule="exact"/>
              <w:rPr>
                <w:rFonts w:ascii="仿宋_GB2312" w:eastAsia="仿宋_GB2312" w:hAnsi="仿宋_GB2312" w:cs="仿宋_GB2312"/>
                <w:color w:val="auto"/>
                <w:sz w:val="21"/>
                <w:szCs w:val="21"/>
              </w:rPr>
            </w:pPr>
          </w:p>
        </w:tc>
      </w:tr>
      <w:tr w:rsidR="005F462D">
        <w:trPr>
          <w:trHeight w:val="592"/>
          <w:jc w:val="center"/>
        </w:trPr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462D" w:rsidRDefault="005F462D">
            <w:pPr>
              <w:pStyle w:val="Default"/>
              <w:spacing w:line="592" w:lineRule="exact"/>
              <w:jc w:val="center"/>
              <w:rPr>
                <w:rFonts w:ascii="仿宋_GB2312" w:eastAsia="仿宋_GB2312"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462D" w:rsidRDefault="005F462D">
            <w:pPr>
              <w:pStyle w:val="Default"/>
              <w:spacing w:line="592" w:lineRule="exact"/>
              <w:jc w:val="center"/>
              <w:rPr>
                <w:rFonts w:ascii="仿宋_GB2312" w:eastAsia="仿宋_GB2312"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462D" w:rsidRDefault="005F462D">
            <w:pPr>
              <w:pStyle w:val="Default"/>
              <w:spacing w:line="592" w:lineRule="exact"/>
              <w:jc w:val="center"/>
              <w:rPr>
                <w:rFonts w:ascii="仿宋_GB2312" w:eastAsia="仿宋_GB2312"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5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62D" w:rsidRDefault="005F462D">
            <w:pPr>
              <w:pStyle w:val="Default"/>
              <w:spacing w:line="592" w:lineRule="exact"/>
              <w:rPr>
                <w:rFonts w:ascii="仿宋_GB2312" w:eastAsia="仿宋_GB2312" w:hAnsi="仿宋_GB2312" w:cs="仿宋_GB2312"/>
                <w:color w:val="auto"/>
                <w:sz w:val="21"/>
                <w:szCs w:val="21"/>
              </w:rPr>
            </w:pPr>
          </w:p>
        </w:tc>
      </w:tr>
    </w:tbl>
    <w:p w:rsidR="005F462D" w:rsidRDefault="00BB3C49" w:rsidP="007F7D80">
      <w:pPr>
        <w:spacing w:beforeLines="100" w:before="312"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bookmarkStart w:id="7" w:name="_Toc20162"/>
      <w:bookmarkStart w:id="8" w:name="_Toc26276"/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八、响应文件内容</w:t>
      </w:r>
    </w:p>
    <w:p w:rsidR="005F462D" w:rsidRDefault="00BB3C49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第一部分：商务文件</w:t>
      </w:r>
    </w:p>
    <w:p w:rsidR="005F462D" w:rsidRDefault="00BB3C49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公司简介、营业执照复印件、法人授权代表书、无违法违规记录承诺书等。</w:t>
      </w:r>
    </w:p>
    <w:p w:rsidR="005F462D" w:rsidRDefault="00BB3C49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第二部分：报价文件</w:t>
      </w:r>
    </w:p>
    <w:p w:rsidR="005F462D" w:rsidRDefault="00BB3C49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第三部分：技术文件</w:t>
      </w:r>
    </w:p>
    <w:p w:rsidR="005F462D" w:rsidRDefault="00BB3C49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招聘实施方案、组卷人员基本情况、项目团队基本情况、以往招聘业绩等。</w:t>
      </w:r>
    </w:p>
    <w:p w:rsidR="005F462D" w:rsidRDefault="00BB3C49">
      <w:pPr>
        <w:spacing w:beforeLines="100" w:before="312"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九、</w:t>
      </w:r>
      <w:bookmarkEnd w:id="7"/>
      <w:bookmarkEnd w:id="8"/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提交响应文件及评标时间</w:t>
      </w:r>
    </w:p>
    <w:p w:rsidR="005F462D" w:rsidRDefault="00BB3C49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bookmarkStart w:id="9" w:name="OLE_LINK3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提交响应文件截止时间</w:t>
      </w:r>
      <w:bookmarkEnd w:id="9"/>
      <w:r w:rsidRPr="00287A8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：</w:t>
      </w:r>
      <w:r w:rsidR="00BE5F58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</w:t>
      </w:r>
      <w:r w:rsidR="00BE5F58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025</w:t>
      </w:r>
      <w:r w:rsidR="00BE5F58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年8月</w:t>
      </w:r>
      <w:r w:rsidR="005B2DB8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8</w:t>
      </w:r>
      <w:r w:rsidR="00BE5F58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日9:0</w:t>
      </w:r>
      <w:r w:rsidR="00BE5F58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0</w:t>
      </w:r>
      <w:r w:rsidR="00287A85" w:rsidRPr="00287A8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响应文件应密封并加盖公章，一正本四副本，截止时间后送达的或者未密封完好的响应文件不予接收。提交地点为：安徽省合肥市祁门路1688号兴泰金融广场</w:t>
      </w:r>
      <w:r w:rsidR="005157A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6楼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人力资源部，可邮寄，以邮寄到达时间为准。</w:t>
      </w:r>
    </w:p>
    <w:p w:rsidR="005F462D" w:rsidRDefault="00BB3C49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评标时间：</w:t>
      </w:r>
      <w:r w:rsidR="00BE5F58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</w:t>
      </w:r>
      <w:r w:rsidR="00BE5F58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025</w:t>
      </w:r>
      <w:r w:rsidR="00BE5F58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年8月</w:t>
      </w:r>
      <w:r w:rsidR="005B2DB8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8</w:t>
      </w:r>
      <w:r w:rsidR="00BE5F58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日9:0</w:t>
      </w:r>
      <w:r w:rsidR="00BE5F58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0</w:t>
      </w:r>
      <w:r w:rsidR="00287A85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评标地点：安徽省合肥市祁门路1688号兴泰金融广场。</w:t>
      </w:r>
    </w:p>
    <w:p w:rsidR="005F462D" w:rsidRDefault="00BB3C49">
      <w:pPr>
        <w:spacing w:beforeLines="100" w:before="312"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bookmarkStart w:id="10" w:name="_Toc5332"/>
      <w:bookmarkStart w:id="11" w:name="_Toc18753"/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十、联系方式</w:t>
      </w:r>
      <w:bookmarkEnd w:id="10"/>
      <w:bookmarkEnd w:id="11"/>
    </w:p>
    <w:p w:rsidR="005F462D" w:rsidRDefault="00BB3C49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联 系 人：钱经理</w:t>
      </w:r>
    </w:p>
    <w:p w:rsidR="005F462D" w:rsidRDefault="00BB3C49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电    话：</w:t>
      </w:r>
      <w:r w:rsidR="003072B8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17381578506</w:t>
      </w:r>
    </w:p>
    <w:p w:rsidR="005F462D" w:rsidRDefault="005F462D">
      <w:pPr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5F462D" w:rsidRDefault="005F462D">
      <w:pPr>
        <w:spacing w:line="592" w:lineRule="exac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5F462D" w:rsidRDefault="00BB3C49">
      <w:pPr>
        <w:spacing w:line="592" w:lineRule="exact"/>
        <w:ind w:firstLineChars="200" w:firstLine="640"/>
        <w:jc w:val="righ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合肥兴泰金融控股（集团）有限公司</w:t>
      </w:r>
    </w:p>
    <w:p w:rsidR="005F462D" w:rsidRDefault="00BB3C49">
      <w:pPr>
        <w:spacing w:line="592" w:lineRule="exact"/>
        <w:ind w:firstLineChars="200" w:firstLine="640"/>
        <w:jc w:val="center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              </w:t>
      </w:r>
      <w:r w:rsidR="008312BA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2025年</w:t>
      </w:r>
      <w:r w:rsidR="00B57DF2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月</w:t>
      </w:r>
      <w:r w:rsidR="00864B65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日</w:t>
      </w:r>
    </w:p>
    <w:p w:rsidR="005F462D" w:rsidRDefault="005F462D">
      <w:pPr>
        <w:pStyle w:val="2"/>
        <w:spacing w:line="592" w:lineRule="exact"/>
        <w:rPr>
          <w:rFonts w:ascii="仿宋_GB2312" w:eastAsia="仿宋_GB2312" w:hAnsi="仿宋_GB2312" w:cs="仿宋_GB2312"/>
          <w:snapToGrid w:val="0"/>
          <w:kern w:val="0"/>
          <w:sz w:val="28"/>
          <w:szCs w:val="28"/>
        </w:rPr>
      </w:pPr>
    </w:p>
    <w:p w:rsidR="005F462D" w:rsidRDefault="00BB3C49">
      <w:r>
        <w:rPr>
          <w:rFonts w:ascii="仿宋_GB2312" w:eastAsia="仿宋_GB2312" w:hAnsi="仿宋_GB2312" w:cs="仿宋_GB2312" w:hint="eastAsia"/>
          <w:snapToGrid w:val="0"/>
          <w:kern w:val="0"/>
          <w:sz w:val="28"/>
          <w:szCs w:val="28"/>
        </w:rPr>
        <w:t xml:space="preserve">                                         </w:t>
      </w:r>
    </w:p>
    <w:sectPr w:rsidR="005F4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BD" w:rsidRDefault="000070BD" w:rsidP="00BB3C49">
      <w:r>
        <w:separator/>
      </w:r>
    </w:p>
  </w:endnote>
  <w:endnote w:type="continuationSeparator" w:id="0">
    <w:p w:rsidR="000070BD" w:rsidRDefault="000070BD" w:rsidP="00BB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BD" w:rsidRDefault="000070BD" w:rsidP="00BB3C49">
      <w:r>
        <w:separator/>
      </w:r>
    </w:p>
  </w:footnote>
  <w:footnote w:type="continuationSeparator" w:id="0">
    <w:p w:rsidR="000070BD" w:rsidRDefault="000070BD" w:rsidP="00BB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960C1"/>
    <w:multiLevelType w:val="singleLevel"/>
    <w:tmpl w:val="8AE960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153AE6C"/>
    <w:multiLevelType w:val="singleLevel"/>
    <w:tmpl w:val="D153AE6C"/>
    <w:lvl w:ilvl="0">
      <w:start w:val="6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64"/>
    <w:rsid w:val="000070BD"/>
    <w:rsid w:val="00024512"/>
    <w:rsid w:val="00054A6A"/>
    <w:rsid w:val="000D18A5"/>
    <w:rsid w:val="001513EC"/>
    <w:rsid w:val="0018246C"/>
    <w:rsid w:val="00191EC3"/>
    <w:rsid w:val="001A564A"/>
    <w:rsid w:val="00242FC0"/>
    <w:rsid w:val="00287A85"/>
    <w:rsid w:val="00291E68"/>
    <w:rsid w:val="00303EAE"/>
    <w:rsid w:val="003072B8"/>
    <w:rsid w:val="00372164"/>
    <w:rsid w:val="004137D9"/>
    <w:rsid w:val="0042758D"/>
    <w:rsid w:val="004733B6"/>
    <w:rsid w:val="00506882"/>
    <w:rsid w:val="005157AC"/>
    <w:rsid w:val="0052414C"/>
    <w:rsid w:val="00585111"/>
    <w:rsid w:val="00586771"/>
    <w:rsid w:val="005B2DB8"/>
    <w:rsid w:val="005B7D5C"/>
    <w:rsid w:val="005D3F60"/>
    <w:rsid w:val="005F462D"/>
    <w:rsid w:val="0062645C"/>
    <w:rsid w:val="00636DFF"/>
    <w:rsid w:val="007311DF"/>
    <w:rsid w:val="007324C2"/>
    <w:rsid w:val="007F7D80"/>
    <w:rsid w:val="0082052F"/>
    <w:rsid w:val="008312BA"/>
    <w:rsid w:val="00864B65"/>
    <w:rsid w:val="008A35FD"/>
    <w:rsid w:val="008D3DBD"/>
    <w:rsid w:val="008F002D"/>
    <w:rsid w:val="00A822C1"/>
    <w:rsid w:val="00B57DF2"/>
    <w:rsid w:val="00BB3C49"/>
    <w:rsid w:val="00BE472C"/>
    <w:rsid w:val="00BE5F58"/>
    <w:rsid w:val="00BE71F7"/>
    <w:rsid w:val="00C73F38"/>
    <w:rsid w:val="00CD751C"/>
    <w:rsid w:val="00CF1CD4"/>
    <w:rsid w:val="00D70C64"/>
    <w:rsid w:val="00D9793B"/>
    <w:rsid w:val="00DD2ED1"/>
    <w:rsid w:val="00DE1E98"/>
    <w:rsid w:val="00E64AB3"/>
    <w:rsid w:val="00EA2993"/>
    <w:rsid w:val="00F0030E"/>
    <w:rsid w:val="00F22E6A"/>
    <w:rsid w:val="00F27C63"/>
    <w:rsid w:val="00F821E6"/>
    <w:rsid w:val="00F92BD7"/>
    <w:rsid w:val="00FD353A"/>
    <w:rsid w:val="00FD6A4B"/>
    <w:rsid w:val="00FD7553"/>
    <w:rsid w:val="010334B8"/>
    <w:rsid w:val="02BB3FBD"/>
    <w:rsid w:val="0891362C"/>
    <w:rsid w:val="09511A59"/>
    <w:rsid w:val="0B2A505F"/>
    <w:rsid w:val="151931CA"/>
    <w:rsid w:val="159071D1"/>
    <w:rsid w:val="1BC93522"/>
    <w:rsid w:val="1C1404DA"/>
    <w:rsid w:val="20D37767"/>
    <w:rsid w:val="210D0846"/>
    <w:rsid w:val="2137340B"/>
    <w:rsid w:val="21B422D8"/>
    <w:rsid w:val="23C23C22"/>
    <w:rsid w:val="270E414E"/>
    <w:rsid w:val="28ED0D31"/>
    <w:rsid w:val="2A2B584E"/>
    <w:rsid w:val="2D8153B5"/>
    <w:rsid w:val="2DD14D37"/>
    <w:rsid w:val="2EFB0FA1"/>
    <w:rsid w:val="308C0433"/>
    <w:rsid w:val="31D53C4D"/>
    <w:rsid w:val="31F704D8"/>
    <w:rsid w:val="33067842"/>
    <w:rsid w:val="34E857D9"/>
    <w:rsid w:val="366F4BCC"/>
    <w:rsid w:val="37961BBF"/>
    <w:rsid w:val="390417A5"/>
    <w:rsid w:val="3DF709F8"/>
    <w:rsid w:val="3EEC4D4C"/>
    <w:rsid w:val="423E5702"/>
    <w:rsid w:val="442A5853"/>
    <w:rsid w:val="468808C3"/>
    <w:rsid w:val="475C411F"/>
    <w:rsid w:val="47907D40"/>
    <w:rsid w:val="48C044E1"/>
    <w:rsid w:val="491E2E86"/>
    <w:rsid w:val="4DB07082"/>
    <w:rsid w:val="4DF542F3"/>
    <w:rsid w:val="500A46DA"/>
    <w:rsid w:val="50310EB9"/>
    <w:rsid w:val="55347204"/>
    <w:rsid w:val="59222CCC"/>
    <w:rsid w:val="59473E05"/>
    <w:rsid w:val="5AE7002E"/>
    <w:rsid w:val="5B9D42DA"/>
    <w:rsid w:val="5D1F69D4"/>
    <w:rsid w:val="5E6C5B63"/>
    <w:rsid w:val="5FDA4550"/>
    <w:rsid w:val="62802BC7"/>
    <w:rsid w:val="64331B94"/>
    <w:rsid w:val="64607B36"/>
    <w:rsid w:val="66541798"/>
    <w:rsid w:val="6FBB358F"/>
    <w:rsid w:val="7232600D"/>
    <w:rsid w:val="727C5E8F"/>
    <w:rsid w:val="7347675E"/>
    <w:rsid w:val="73827B0E"/>
    <w:rsid w:val="76C23463"/>
    <w:rsid w:val="79C70258"/>
    <w:rsid w:val="7A0C0393"/>
    <w:rsid w:val="7A5977C7"/>
    <w:rsid w:val="7B4F16C8"/>
    <w:rsid w:val="7CA3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52B17"/>
  <w15:docId w15:val="{6090FA83-0BF7-4667-9DB2-DC2D675A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仿宋" w:hAnsi="Arial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rsid w:val="00BB3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B3C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BB3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BB3C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417</Words>
  <Characters>2378</Characters>
  <Application>Microsoft Office Word</Application>
  <DocSecurity>0</DocSecurity>
  <Lines>19</Lines>
  <Paragraphs>5</Paragraphs>
  <ScaleCrop>false</ScaleCrop>
  <Company>Organization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李慧</cp:lastModifiedBy>
  <cp:revision>30</cp:revision>
  <cp:lastPrinted>2024-09-12T06:57:00Z</cp:lastPrinted>
  <dcterms:created xsi:type="dcterms:W3CDTF">2025-07-29T02:00:00Z</dcterms:created>
  <dcterms:modified xsi:type="dcterms:W3CDTF">2025-07-29T08:46:00Z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4A690F4BB5594A79871D070B92AF7E64</vt:lpwstr>
  </property>
</Properties>
</file>