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 w:after="156"/>
        <w:jc w:val="center"/>
        <w:rPr>
          <w:rFonts w:ascii="宋体" w:hAnsi="宋体"/>
          <w:b/>
          <w:sz w:val="36"/>
        </w:rPr>
      </w:pPr>
      <w:r>
        <w:rPr>
          <w:rFonts w:hint="eastAsia" w:ascii="宋体" w:hAnsi="宋体"/>
          <w:b/>
          <w:sz w:val="36"/>
        </w:rPr>
        <w:t>安</w:t>
      </w:r>
      <w:bookmarkStart w:id="19" w:name="_GoBack"/>
      <w:r>
        <w:rPr>
          <w:rFonts w:hint="eastAsia" w:ascii="宋体" w:hAnsi="宋体"/>
          <w:b/>
          <w:sz w:val="36"/>
        </w:rPr>
        <w:t>徽兴泰</w:t>
      </w:r>
      <w:r>
        <w:rPr>
          <w:rFonts w:hint="eastAsia" w:ascii="宋体" w:hAnsi="宋体"/>
          <w:b/>
          <w:sz w:val="36"/>
          <w:highlight w:val="none"/>
        </w:rPr>
        <w:t>担保</w:t>
      </w:r>
      <w:r>
        <w:rPr>
          <w:rFonts w:hint="eastAsia" w:ascii="宋体" w:hAnsi="宋体"/>
          <w:b/>
          <w:sz w:val="36"/>
        </w:rPr>
        <w:t>202</w:t>
      </w:r>
      <w:r>
        <w:rPr>
          <w:rFonts w:ascii="宋体" w:hAnsi="宋体"/>
          <w:b/>
          <w:sz w:val="36"/>
        </w:rPr>
        <w:t>5</w:t>
      </w:r>
      <w:r>
        <w:rPr>
          <w:rFonts w:hint="eastAsia" w:ascii="宋体" w:hAnsi="宋体"/>
          <w:b/>
          <w:sz w:val="36"/>
        </w:rPr>
        <w:t>年度</w:t>
      </w:r>
      <w:r>
        <w:rPr>
          <w:rFonts w:hint="eastAsia" w:ascii="宋体" w:hAnsi="宋体"/>
          <w:b/>
          <w:sz w:val="36"/>
          <w:highlight w:val="none"/>
        </w:rPr>
        <w:t>财务RPA（机器人流程自动化）项目竞</w:t>
      </w:r>
      <w:r>
        <w:rPr>
          <w:rFonts w:hint="eastAsia" w:ascii="宋体" w:hAnsi="宋体"/>
          <w:b/>
          <w:sz w:val="36"/>
        </w:rPr>
        <w:t>争性磋商文件</w:t>
      </w:r>
    </w:p>
    <w:bookmarkEnd w:id="19"/>
    <w:p>
      <w:pPr>
        <w:pStyle w:val="5"/>
        <w:rPr>
          <w:rFonts w:ascii="宋体" w:hAnsi="宋体"/>
        </w:rPr>
      </w:pPr>
      <w:r>
        <w:rPr>
          <w:rFonts w:hint="eastAsia" w:ascii="宋体" w:hAnsi="宋体"/>
        </w:rPr>
        <w:t>一、项目概况</w:t>
      </w:r>
    </w:p>
    <w:p>
      <w:pPr>
        <w:pStyle w:val="2"/>
        <w:spacing w:before="93" w:after="156"/>
        <w:ind w:left="0" w:leftChars="0" w:firstLine="480"/>
        <w:rPr>
          <w:rFonts w:ascii="宋体" w:hAnsi="宋体"/>
        </w:rPr>
      </w:pPr>
      <w:r>
        <w:rPr>
          <w:rFonts w:hint="eastAsia" w:ascii="宋体" w:hAnsi="宋体"/>
        </w:rPr>
        <w:t>面对外部激烈的竞争环境，人力成本不断提升，企业降本提效压力不断增大；同时，人工智能信息技术不断发展，诸多机械、重复、低效的工作正在逐步由智能机器人替代。在此背景下，安徽省兴泰融资担保集团有限公司（以下简称“安徽兴泰担保”）结合网银管理业务痛点，采购银行网银RPA机器人流程自动化产品和实施开发服务。</w:t>
      </w:r>
    </w:p>
    <w:p>
      <w:pPr>
        <w:pStyle w:val="5"/>
        <w:rPr>
          <w:rFonts w:ascii="宋体" w:hAnsi="宋体"/>
        </w:rPr>
      </w:pPr>
      <w:r>
        <w:rPr>
          <w:rFonts w:hint="eastAsia" w:ascii="宋体" w:hAnsi="宋体"/>
        </w:rPr>
        <w:t>二、资格条件</w:t>
      </w:r>
    </w:p>
    <w:p>
      <w:pPr>
        <w:spacing w:before="93" w:after="156"/>
        <w:ind w:firstLine="480" w:firstLineChars="200"/>
        <w:rPr>
          <w:rFonts w:hint="eastAsia" w:ascii="宋体" w:hAnsi="宋体"/>
        </w:rPr>
      </w:pPr>
      <w:r>
        <w:rPr>
          <w:rFonts w:hint="eastAsia" w:ascii="宋体" w:hAnsi="宋体"/>
        </w:rPr>
        <w:t>1、服务商须提供法人或者其他组织的营业执照等证明文件。</w:t>
      </w:r>
    </w:p>
    <w:p>
      <w:pPr>
        <w:spacing w:before="93" w:after="156"/>
        <w:ind w:firstLine="480" w:firstLineChars="200"/>
        <w:rPr>
          <w:rFonts w:hint="eastAsia" w:ascii="宋体" w:hAnsi="宋体"/>
        </w:rPr>
      </w:pPr>
      <w:r>
        <w:rPr>
          <w:rFonts w:hint="eastAsia" w:ascii="宋体" w:hAnsi="宋体"/>
        </w:rPr>
        <w:t>2、具有良好的商业信誉，具有履行合同所需的完全能力，具备法律法规规定的其它条件的合格企业法人。</w:t>
      </w:r>
    </w:p>
    <w:p>
      <w:pPr>
        <w:spacing w:before="93" w:after="156"/>
        <w:ind w:firstLine="480" w:firstLineChars="200"/>
        <w:rPr>
          <w:rFonts w:ascii="宋体" w:hAnsi="宋体"/>
        </w:rPr>
      </w:pPr>
      <w:r>
        <w:rPr>
          <w:rFonts w:hint="eastAsia" w:ascii="宋体" w:hAnsi="宋体"/>
        </w:rPr>
        <w:t>3、具有履行合同所必需的软件或设备，以及专业技术能力。</w:t>
      </w:r>
    </w:p>
    <w:p>
      <w:pPr>
        <w:spacing w:before="93" w:after="156"/>
        <w:ind w:firstLine="480" w:firstLineChars="200"/>
        <w:rPr>
          <w:rFonts w:ascii="宋体" w:hAnsi="宋体"/>
        </w:rPr>
      </w:pPr>
      <w:r>
        <w:rPr>
          <w:rFonts w:hint="eastAsia" w:ascii="宋体" w:hAnsi="宋体"/>
        </w:rPr>
        <w:t>4、要求服务商的主营业务有软件开发、计算机系统服务、信息系统集成服务、互联网数据服务、技术服务、技术开发、信息技术咨询等服务，致力于为企业数字化转型提供咨询、产品、开发和实施服务，具有RPA、机器人或自动化类似服务的业绩。</w:t>
      </w:r>
    </w:p>
    <w:p>
      <w:pPr>
        <w:pStyle w:val="5"/>
        <w:rPr>
          <w:rFonts w:ascii="宋体" w:hAnsi="宋体"/>
        </w:rPr>
      </w:pPr>
      <w:r>
        <w:rPr>
          <w:rFonts w:hint="eastAsia" w:ascii="宋体" w:hAnsi="宋体"/>
        </w:rPr>
        <w:t>三、评审办法和标准</w:t>
      </w:r>
    </w:p>
    <w:p>
      <w:pPr>
        <w:spacing w:before="93" w:after="156"/>
        <w:ind w:firstLine="480" w:firstLineChars="200"/>
        <w:rPr>
          <w:rFonts w:hint="eastAsia" w:ascii="宋体" w:hAnsi="宋体"/>
        </w:rPr>
      </w:pPr>
      <w:r>
        <w:rPr>
          <w:rFonts w:hint="eastAsia" w:ascii="宋体" w:hAnsi="宋体"/>
        </w:rPr>
        <w:t>本项目以综合评分法评标，</w:t>
      </w:r>
      <w:r>
        <w:rPr>
          <w:rFonts w:hint="eastAsia" w:ascii="宋体" w:hAnsi="宋体"/>
          <w:lang w:val="en-US" w:eastAsia="zh-CN"/>
        </w:rPr>
        <w:t>实施能力</w:t>
      </w:r>
      <w:r>
        <w:rPr>
          <w:rFonts w:hint="eastAsia" w:ascii="宋体" w:hAnsi="宋体"/>
        </w:rPr>
        <w:t>分值占总分值的权重为</w:t>
      </w:r>
      <w:r>
        <w:rPr>
          <w:rFonts w:hint="eastAsia" w:ascii="宋体" w:hAnsi="宋体"/>
          <w:lang w:val="en-US" w:eastAsia="zh-CN"/>
        </w:rPr>
        <w:t>15</w:t>
      </w:r>
      <w:r>
        <w:rPr>
          <w:rFonts w:hint="eastAsia" w:ascii="宋体" w:hAnsi="宋体"/>
        </w:rPr>
        <w:t>%，资信分值占总分值的权重为</w:t>
      </w:r>
      <w:r>
        <w:rPr>
          <w:rFonts w:hint="eastAsia" w:ascii="宋体" w:hAnsi="宋体"/>
          <w:lang w:val="en-US" w:eastAsia="zh-CN"/>
        </w:rPr>
        <w:t>40</w:t>
      </w:r>
      <w:r>
        <w:rPr>
          <w:rFonts w:hint="eastAsia" w:ascii="宋体" w:hAnsi="宋体"/>
        </w:rPr>
        <w:t>%，价格分值占总分值的权重为</w:t>
      </w:r>
      <w:r>
        <w:rPr>
          <w:rFonts w:hint="eastAsia" w:ascii="宋体" w:hAnsi="宋体"/>
          <w:lang w:val="en-US" w:eastAsia="zh-CN"/>
        </w:rPr>
        <w:t>30</w:t>
      </w:r>
      <w:r>
        <w:rPr>
          <w:rFonts w:hint="eastAsia" w:ascii="宋体" w:hAnsi="宋体"/>
        </w:rPr>
        <w:t>%</w:t>
      </w:r>
      <w:r>
        <w:rPr>
          <w:rFonts w:hint="eastAsia" w:ascii="宋体" w:hAnsi="宋体"/>
          <w:lang w:eastAsia="zh-CN"/>
        </w:rPr>
        <w:t>，</w:t>
      </w:r>
      <w:r>
        <w:rPr>
          <w:rFonts w:hint="eastAsia" w:ascii="宋体" w:hAnsi="宋体"/>
          <w:lang w:val="en-US" w:eastAsia="zh-CN"/>
        </w:rPr>
        <w:t>方案分值占总分值的权重为15%</w:t>
      </w:r>
      <w:r>
        <w:rPr>
          <w:rFonts w:hint="eastAsia" w:ascii="宋体" w:hAnsi="宋体"/>
        </w:rPr>
        <w:t>。具体评分细则如下：</w:t>
      </w:r>
    </w:p>
    <w:p>
      <w:pPr>
        <w:pStyle w:val="2"/>
        <w:rPr>
          <w:rFonts w:hint="eastAsia" w:ascii="宋体" w:hAnsi="宋体"/>
        </w:rPr>
      </w:pPr>
    </w:p>
    <w:p>
      <w:pPr>
        <w:pStyle w:val="2"/>
        <w:rPr>
          <w:rFonts w:hint="eastAsia" w:ascii="宋体" w:hAnsi="宋体"/>
        </w:rPr>
      </w:pPr>
    </w:p>
    <w:p>
      <w:pPr>
        <w:pStyle w:val="2"/>
        <w:rPr>
          <w:rFonts w:hint="eastAsia" w:ascii="宋体" w:hAnsi="宋体"/>
        </w:r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1447"/>
        <w:gridCol w:w="6091"/>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58" w:type="pct"/>
            <w:shd w:val="clear" w:color="auto" w:fill="F2F2F2"/>
            <w:noWrap w:val="0"/>
            <w:vAlign w:val="center"/>
          </w:tcPr>
          <w:p>
            <w:pPr>
              <w:spacing w:before="93" w:after="156" w:line="400" w:lineRule="atLeast"/>
              <w:jc w:val="center"/>
              <w:rPr>
                <w:rFonts w:ascii="宋体" w:hAnsi="宋体"/>
                <w:b/>
              </w:rPr>
            </w:pPr>
            <w:r>
              <w:rPr>
                <w:rFonts w:ascii="宋体" w:hAnsi="宋体"/>
                <w:b/>
              </w:rPr>
              <w:t>类别</w:t>
            </w:r>
          </w:p>
        </w:tc>
        <w:tc>
          <w:tcPr>
            <w:tcW w:w="734" w:type="pct"/>
            <w:shd w:val="clear" w:color="auto" w:fill="F2F2F2"/>
            <w:noWrap w:val="0"/>
            <w:vAlign w:val="center"/>
          </w:tcPr>
          <w:p>
            <w:pPr>
              <w:spacing w:before="93" w:after="156" w:line="400" w:lineRule="atLeast"/>
              <w:jc w:val="center"/>
              <w:rPr>
                <w:rFonts w:ascii="宋体" w:hAnsi="宋体"/>
                <w:b/>
              </w:rPr>
            </w:pPr>
            <w:r>
              <w:rPr>
                <w:rFonts w:ascii="宋体" w:hAnsi="宋体"/>
                <w:b/>
              </w:rPr>
              <w:t>评分内容</w:t>
            </w:r>
          </w:p>
        </w:tc>
        <w:tc>
          <w:tcPr>
            <w:tcW w:w="3090" w:type="pct"/>
            <w:shd w:val="clear" w:color="auto" w:fill="F2F2F2"/>
            <w:noWrap w:val="0"/>
            <w:vAlign w:val="center"/>
          </w:tcPr>
          <w:p>
            <w:pPr>
              <w:spacing w:before="93" w:after="156" w:line="400" w:lineRule="atLeast"/>
              <w:jc w:val="center"/>
              <w:rPr>
                <w:rFonts w:ascii="宋体" w:hAnsi="宋体"/>
                <w:b/>
              </w:rPr>
            </w:pPr>
            <w:r>
              <w:rPr>
                <w:rFonts w:ascii="宋体" w:hAnsi="宋体"/>
                <w:b/>
              </w:rPr>
              <w:t>评分标准</w:t>
            </w:r>
          </w:p>
        </w:tc>
        <w:tc>
          <w:tcPr>
            <w:tcW w:w="517" w:type="pct"/>
            <w:shd w:val="clear" w:color="auto" w:fill="F2F2F2"/>
            <w:noWrap w:val="0"/>
            <w:vAlign w:val="center"/>
          </w:tcPr>
          <w:p>
            <w:pPr>
              <w:spacing w:before="93" w:after="156" w:line="400" w:lineRule="atLeast"/>
              <w:jc w:val="center"/>
              <w:rPr>
                <w:rFonts w:ascii="宋体" w:hAnsi="宋体"/>
                <w:b/>
              </w:rPr>
            </w:pPr>
            <w:r>
              <w:rPr>
                <w:rFonts w:ascii="宋体" w:hAnsi="宋体"/>
                <w:b/>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658" w:type="pct"/>
            <w:vMerge w:val="restart"/>
            <w:noWrap w:val="0"/>
            <w:vAlign w:val="center"/>
          </w:tcPr>
          <w:p>
            <w:pPr>
              <w:spacing w:before="93" w:after="156" w:line="400" w:lineRule="atLeast"/>
              <w:jc w:val="center"/>
              <w:rPr>
                <w:rFonts w:ascii="宋体" w:hAnsi="宋体"/>
              </w:rPr>
            </w:pPr>
            <w:r>
              <w:rPr>
                <w:rFonts w:hint="eastAsia" w:ascii="宋体" w:hAnsi="宋体"/>
                <w:lang w:val="en-US" w:eastAsia="zh-CN"/>
              </w:rPr>
              <w:t>实施能力</w:t>
            </w:r>
            <w:r>
              <w:rPr>
                <w:rFonts w:ascii="宋体" w:hAnsi="宋体"/>
              </w:rPr>
              <w:t>（</w:t>
            </w:r>
            <w:r>
              <w:rPr>
                <w:rFonts w:hint="eastAsia" w:ascii="宋体" w:hAnsi="宋体"/>
                <w:lang w:val="en-US" w:eastAsia="zh-CN"/>
              </w:rPr>
              <w:t>15</w:t>
            </w:r>
            <w:r>
              <w:rPr>
                <w:rFonts w:ascii="宋体" w:hAnsi="宋体"/>
              </w:rPr>
              <w:t>分）</w:t>
            </w:r>
          </w:p>
        </w:tc>
        <w:tc>
          <w:tcPr>
            <w:tcW w:w="734" w:type="pct"/>
            <w:noWrap w:val="0"/>
            <w:vAlign w:val="center"/>
          </w:tcPr>
          <w:p>
            <w:pPr>
              <w:spacing w:before="93" w:after="156" w:line="400" w:lineRule="atLeast"/>
              <w:jc w:val="center"/>
              <w:rPr>
                <w:rFonts w:ascii="宋体" w:hAnsi="宋体"/>
              </w:rPr>
            </w:pPr>
            <w:r>
              <w:rPr>
                <w:rFonts w:hint="eastAsia" w:ascii="宋体" w:hAnsi="宋体"/>
              </w:rPr>
              <w:t>专利或著作权</w:t>
            </w:r>
          </w:p>
        </w:tc>
        <w:tc>
          <w:tcPr>
            <w:tcW w:w="3090" w:type="pct"/>
            <w:noWrap w:val="0"/>
            <w:vAlign w:val="center"/>
          </w:tcPr>
          <w:p>
            <w:pPr>
              <w:spacing w:before="93" w:after="156" w:line="400" w:lineRule="atLeast"/>
              <w:rPr>
                <w:rFonts w:hint="eastAsia" w:ascii="宋体" w:hAnsi="宋体"/>
              </w:rPr>
            </w:pPr>
            <w:r>
              <w:rPr>
                <w:rFonts w:hint="eastAsia" w:ascii="宋体" w:hAnsi="宋体"/>
              </w:rPr>
              <w:t>具备RPA或机器人流程自动化或Robotic Process Automation或数字员工相关发明型专利或软件著作权，得5分，否则不得分。</w:t>
            </w:r>
          </w:p>
        </w:tc>
        <w:tc>
          <w:tcPr>
            <w:tcW w:w="517" w:type="pct"/>
            <w:noWrap w:val="0"/>
            <w:vAlign w:val="center"/>
          </w:tcPr>
          <w:p>
            <w:pPr>
              <w:spacing w:before="93" w:after="156" w:line="400" w:lineRule="atLeast"/>
              <w:jc w:val="center"/>
              <w:rPr>
                <w:rFonts w:ascii="宋体" w:hAnsi="宋体"/>
              </w:rPr>
            </w:pPr>
            <w:r>
              <w:rPr>
                <w:rFonts w:hint="eastAsia" w:ascii="宋体" w:hAnsi="宋体"/>
              </w:rPr>
              <w:t>0</w:t>
            </w:r>
            <w:r>
              <w:rPr>
                <w:rFonts w:ascii="宋体" w:hAnsi="宋体"/>
              </w:rPr>
              <w:t>-5</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vMerge w:val="continue"/>
            <w:noWrap w:val="0"/>
            <w:vAlign w:val="center"/>
          </w:tcPr>
          <w:p>
            <w:pPr>
              <w:spacing w:before="93" w:after="156" w:line="400" w:lineRule="atLeast"/>
              <w:jc w:val="center"/>
              <w:rPr>
                <w:rFonts w:ascii="宋体" w:hAnsi="宋体"/>
              </w:rPr>
            </w:pPr>
          </w:p>
        </w:tc>
        <w:tc>
          <w:tcPr>
            <w:tcW w:w="734" w:type="pct"/>
            <w:noWrap w:val="0"/>
            <w:vAlign w:val="center"/>
          </w:tcPr>
          <w:p>
            <w:pPr>
              <w:spacing w:before="93" w:after="156" w:line="400" w:lineRule="atLeast"/>
              <w:jc w:val="center"/>
              <w:rPr>
                <w:rFonts w:hint="eastAsia" w:ascii="宋体" w:hAnsi="宋体" w:eastAsia="宋体"/>
                <w:lang w:val="en-US" w:eastAsia="zh-CN"/>
              </w:rPr>
            </w:pPr>
            <w:r>
              <w:rPr>
                <w:rFonts w:ascii="宋体" w:hAnsi="宋体"/>
              </w:rPr>
              <w:t>项目</w:t>
            </w:r>
            <w:r>
              <w:rPr>
                <w:rFonts w:hint="eastAsia" w:ascii="宋体" w:hAnsi="宋体"/>
                <w:lang w:val="en-US" w:eastAsia="zh-CN"/>
              </w:rPr>
              <w:t>经理</w:t>
            </w:r>
          </w:p>
        </w:tc>
        <w:tc>
          <w:tcPr>
            <w:tcW w:w="3090" w:type="pct"/>
            <w:noWrap w:val="0"/>
            <w:vAlign w:val="center"/>
          </w:tcPr>
          <w:p>
            <w:pPr>
              <w:spacing w:before="93" w:after="156" w:line="400" w:lineRule="atLeast"/>
              <w:rPr>
                <w:rFonts w:ascii="宋体" w:hAnsi="宋体"/>
              </w:rPr>
            </w:pPr>
            <w:r>
              <w:rPr>
                <w:rFonts w:ascii="宋体" w:hAnsi="宋体"/>
              </w:rPr>
              <w:t>投标人针对本项目需求拟配备的项目团队应设置项目经理等，具体评审指标如下：</w:t>
            </w:r>
          </w:p>
          <w:p>
            <w:pPr>
              <w:spacing w:before="93" w:after="156" w:line="400" w:lineRule="atLeast"/>
              <w:rPr>
                <w:rFonts w:ascii="宋体" w:hAnsi="宋体"/>
                <w:b/>
              </w:rPr>
            </w:pPr>
            <w:r>
              <w:rPr>
                <w:rFonts w:hint="eastAsia" w:ascii="宋体" w:hAnsi="宋体"/>
              </w:rPr>
              <w:t>1</w:t>
            </w:r>
            <w:r>
              <w:rPr>
                <w:rFonts w:ascii="宋体" w:hAnsi="宋体"/>
              </w:rPr>
              <w:t>、</w:t>
            </w:r>
            <w:r>
              <w:rPr>
                <w:rFonts w:ascii="宋体" w:hAnsi="宋体"/>
                <w:b/>
              </w:rPr>
              <w:t>项目经理（1人，本小项满分</w:t>
            </w:r>
            <w:r>
              <w:rPr>
                <w:rFonts w:hint="eastAsia" w:ascii="宋体" w:hAnsi="宋体"/>
                <w:b/>
              </w:rPr>
              <w:t>1</w:t>
            </w:r>
            <w:r>
              <w:rPr>
                <w:rFonts w:hint="eastAsia" w:ascii="宋体" w:hAnsi="宋体"/>
                <w:b/>
                <w:lang w:val="en-US" w:eastAsia="zh-CN"/>
              </w:rPr>
              <w:t>0</w:t>
            </w:r>
            <w:r>
              <w:rPr>
                <w:rFonts w:ascii="宋体" w:hAnsi="宋体"/>
                <w:b/>
              </w:rPr>
              <w:t>分）：</w:t>
            </w:r>
          </w:p>
          <w:p>
            <w:pPr>
              <w:numPr>
                <w:ilvl w:val="0"/>
                <w:numId w:val="1"/>
              </w:numPr>
              <w:autoSpaceDE w:val="0"/>
              <w:autoSpaceDN w:val="0"/>
              <w:spacing w:before="93" w:beforeLines="0" w:after="156" w:afterLines="0" w:line="400" w:lineRule="atLeast"/>
              <w:jc w:val="left"/>
              <w:rPr>
                <w:rFonts w:ascii="宋体" w:hAnsi="宋体"/>
              </w:rPr>
            </w:pPr>
            <w:r>
              <w:rPr>
                <w:rFonts w:ascii="宋体" w:hAnsi="宋体"/>
              </w:rPr>
              <w:t>具有</w:t>
            </w:r>
            <w:r>
              <w:rPr>
                <w:rFonts w:hint="eastAsia" w:ascii="宋体" w:hAnsi="宋体"/>
              </w:rPr>
              <w:t>PMP</w:t>
            </w:r>
            <w:r>
              <w:rPr>
                <w:rFonts w:ascii="宋体" w:hAnsi="宋体"/>
              </w:rPr>
              <w:t>证书，得</w:t>
            </w:r>
            <w:r>
              <w:rPr>
                <w:rFonts w:hint="eastAsia" w:ascii="宋体" w:hAnsi="宋体"/>
              </w:rPr>
              <w:t>2</w:t>
            </w:r>
            <w:r>
              <w:rPr>
                <w:rFonts w:ascii="宋体" w:hAnsi="宋体"/>
              </w:rPr>
              <w:t>分；</w:t>
            </w:r>
          </w:p>
          <w:p>
            <w:pPr>
              <w:numPr>
                <w:ilvl w:val="0"/>
                <w:numId w:val="1"/>
              </w:numPr>
              <w:autoSpaceDE w:val="0"/>
              <w:autoSpaceDN w:val="0"/>
              <w:spacing w:before="93" w:beforeLines="0" w:after="156" w:afterLines="0" w:line="400" w:lineRule="atLeast"/>
              <w:jc w:val="left"/>
              <w:rPr>
                <w:rFonts w:ascii="宋体" w:hAnsi="宋体"/>
              </w:rPr>
            </w:pPr>
            <w:r>
              <w:rPr>
                <w:rFonts w:ascii="宋体" w:hAnsi="宋体"/>
              </w:rPr>
              <w:t>具有</w:t>
            </w:r>
            <w:r>
              <w:rPr>
                <w:rFonts w:hint="eastAsia" w:ascii="宋体" w:hAnsi="宋体"/>
              </w:rPr>
              <w:t>管理会计师、注册会计师、信息系统项目管理师等</w:t>
            </w:r>
            <w:r>
              <w:rPr>
                <w:rFonts w:ascii="宋体" w:hAnsi="宋体"/>
              </w:rPr>
              <w:t>证书</w:t>
            </w:r>
            <w:r>
              <w:rPr>
                <w:rFonts w:hint="eastAsia" w:ascii="宋体" w:hAnsi="宋体"/>
              </w:rPr>
              <w:t>之一</w:t>
            </w:r>
            <w:r>
              <w:rPr>
                <w:rFonts w:ascii="宋体" w:hAnsi="宋体"/>
              </w:rPr>
              <w:t>，得2分；</w:t>
            </w:r>
          </w:p>
          <w:p>
            <w:pPr>
              <w:pStyle w:val="14"/>
              <w:numPr>
                <w:ilvl w:val="0"/>
                <w:numId w:val="1"/>
              </w:numPr>
              <w:spacing w:before="93" w:beforeLines="0" w:after="156" w:afterLines="0" w:line="240" w:lineRule="auto"/>
              <w:ind w:firstLineChars="0"/>
              <w:rPr>
                <w:rFonts w:ascii="宋体" w:hAnsi="宋体"/>
                <w:sz w:val="24"/>
                <w:szCs w:val="24"/>
              </w:rPr>
            </w:pPr>
            <w:r>
              <w:rPr>
                <w:rFonts w:hint="eastAsia" w:ascii="宋体" w:hAnsi="宋体"/>
                <w:sz w:val="24"/>
                <w:szCs w:val="24"/>
              </w:rPr>
              <w:t>同类项目经验（6分）：考察项目经理自2021年1月1日起至应答截止日（以合同签订时间为准）能体现人员作为项目经理或项目负责人参与的同类项目的数量进行评分，每提供1个有效证明得3分，本项最高得6分。（需提供合同证明或甲方盖章证明）。</w:t>
            </w:r>
          </w:p>
          <w:p>
            <w:pPr>
              <w:spacing w:before="93" w:after="156" w:line="400" w:lineRule="atLeast"/>
              <w:rPr>
                <w:rFonts w:ascii="宋体" w:hAnsi="宋体"/>
              </w:rPr>
            </w:pPr>
            <w:r>
              <w:rPr>
                <w:rFonts w:ascii="宋体" w:hAnsi="宋体"/>
              </w:rPr>
              <w:t>注：以上证书须提供证书扫描件或复印件，且提供</w:t>
            </w:r>
            <w:r>
              <w:rPr>
                <w:rFonts w:hint="eastAsia" w:ascii="宋体" w:hAnsi="宋体"/>
              </w:rPr>
              <w:t>项目经理和团队成员近半年任意</w:t>
            </w:r>
            <w:r>
              <w:rPr>
                <w:rFonts w:ascii="宋体" w:hAnsi="宋体"/>
              </w:rPr>
              <w:t>三个月在投标单位的社保证明。</w:t>
            </w:r>
          </w:p>
        </w:tc>
        <w:tc>
          <w:tcPr>
            <w:tcW w:w="517" w:type="pct"/>
            <w:noWrap w:val="0"/>
            <w:vAlign w:val="center"/>
          </w:tcPr>
          <w:p>
            <w:pPr>
              <w:spacing w:before="93" w:after="156" w:line="400" w:lineRule="atLeast"/>
              <w:jc w:val="center"/>
              <w:rPr>
                <w:rFonts w:ascii="宋体" w:hAnsi="宋体"/>
              </w:rPr>
            </w:pPr>
            <w:r>
              <w:rPr>
                <w:rFonts w:ascii="宋体" w:hAnsi="宋体"/>
              </w:rPr>
              <w:t>0-</w:t>
            </w:r>
            <w:r>
              <w:rPr>
                <w:rFonts w:hint="eastAsia" w:ascii="宋体" w:hAnsi="宋体"/>
                <w:lang w:val="en-US" w:eastAsia="zh-CN"/>
              </w:rPr>
              <w:t>1</w:t>
            </w:r>
            <w:r>
              <w:rPr>
                <w:rFonts w:hint="eastAsia" w:ascii="宋体" w:hAnsi="宋体"/>
              </w:rPr>
              <w:t>0</w:t>
            </w:r>
            <w:r>
              <w:rPr>
                <w:rFonts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vMerge w:val="restart"/>
            <w:noWrap w:val="0"/>
            <w:vAlign w:val="center"/>
          </w:tcPr>
          <w:p>
            <w:pPr>
              <w:spacing w:before="93" w:after="156" w:line="400" w:lineRule="atLeast"/>
              <w:jc w:val="center"/>
              <w:rPr>
                <w:rFonts w:ascii="宋体" w:hAnsi="宋体"/>
              </w:rPr>
            </w:pPr>
            <w:r>
              <w:rPr>
                <w:rFonts w:ascii="宋体" w:hAnsi="宋体"/>
              </w:rPr>
              <w:t>资信分（</w:t>
            </w:r>
            <w:r>
              <w:rPr>
                <w:rFonts w:hint="eastAsia" w:ascii="宋体" w:hAnsi="宋体"/>
                <w:lang w:val="en-US" w:eastAsia="zh-CN"/>
              </w:rPr>
              <w:t>40</w:t>
            </w:r>
            <w:r>
              <w:rPr>
                <w:rFonts w:ascii="宋体" w:hAnsi="宋体"/>
              </w:rPr>
              <w:t>分）</w:t>
            </w:r>
          </w:p>
        </w:tc>
        <w:tc>
          <w:tcPr>
            <w:tcW w:w="734" w:type="pct"/>
            <w:noWrap w:val="0"/>
            <w:vAlign w:val="center"/>
          </w:tcPr>
          <w:p>
            <w:pPr>
              <w:spacing w:before="93" w:after="156" w:line="400" w:lineRule="atLeast"/>
              <w:jc w:val="center"/>
              <w:rPr>
                <w:rFonts w:ascii="宋体" w:hAnsi="宋体"/>
              </w:rPr>
            </w:pPr>
            <w:r>
              <w:rPr>
                <w:rFonts w:ascii="宋体" w:hAnsi="宋体"/>
              </w:rPr>
              <w:t>投标人业绩</w:t>
            </w:r>
          </w:p>
        </w:tc>
        <w:tc>
          <w:tcPr>
            <w:tcW w:w="3090" w:type="pct"/>
            <w:noWrap w:val="0"/>
            <w:vAlign w:val="center"/>
          </w:tcPr>
          <w:p>
            <w:pPr>
              <w:spacing w:before="93" w:after="156" w:line="400" w:lineRule="atLeast"/>
              <w:rPr>
                <w:rFonts w:ascii="宋体" w:hAnsi="宋体"/>
              </w:rPr>
            </w:pPr>
            <w:r>
              <w:rPr>
                <w:rFonts w:ascii="宋体" w:hAnsi="宋体"/>
              </w:rPr>
              <w:t>投标人提供自2021年01月01日以来</w:t>
            </w:r>
            <w:r>
              <w:rPr>
                <w:rFonts w:hint="eastAsia" w:ascii="宋体" w:hAnsi="宋体"/>
              </w:rPr>
              <w:t>RPA或机器人流程自动化或机器人或数字员工的开发、研发或技术支撑服务类项目</w:t>
            </w:r>
            <w:r>
              <w:rPr>
                <w:rFonts w:ascii="宋体" w:hAnsi="宋体"/>
              </w:rPr>
              <w:t>业绩合同（以合同签订日期为准）</w:t>
            </w:r>
            <w:r>
              <w:rPr>
                <w:rFonts w:hint="eastAsia" w:ascii="宋体" w:hAnsi="宋体"/>
              </w:rPr>
              <w:t>且单个合同金额不低于</w:t>
            </w:r>
            <w:r>
              <w:rPr>
                <w:rFonts w:hint="eastAsia" w:ascii="宋体" w:hAnsi="宋体"/>
                <w:lang w:val="en-US" w:eastAsia="zh-CN"/>
              </w:rPr>
              <w:t>5</w:t>
            </w:r>
            <w:r>
              <w:rPr>
                <w:rFonts w:hint="eastAsia" w:ascii="宋体" w:hAnsi="宋体"/>
              </w:rPr>
              <w:t>万元</w:t>
            </w:r>
            <w:r>
              <w:rPr>
                <w:rFonts w:ascii="宋体" w:hAnsi="宋体"/>
              </w:rPr>
              <w:t>：每提供一个得</w:t>
            </w:r>
            <w:r>
              <w:rPr>
                <w:rFonts w:hint="eastAsia" w:ascii="宋体" w:hAnsi="宋体"/>
                <w:lang w:val="en-US" w:eastAsia="zh-CN"/>
              </w:rPr>
              <w:t>10</w:t>
            </w:r>
            <w:r>
              <w:rPr>
                <w:rFonts w:ascii="宋体" w:hAnsi="宋体"/>
              </w:rPr>
              <w:t>分；最高得</w:t>
            </w:r>
            <w:r>
              <w:rPr>
                <w:rFonts w:hint="eastAsia" w:ascii="宋体" w:hAnsi="宋体"/>
              </w:rPr>
              <w:t>2</w:t>
            </w:r>
            <w:r>
              <w:rPr>
                <w:rFonts w:ascii="宋体" w:hAnsi="宋体"/>
              </w:rPr>
              <w:t>0分。</w:t>
            </w:r>
          </w:p>
          <w:p>
            <w:pPr>
              <w:spacing w:before="93" w:after="156" w:line="400" w:lineRule="atLeast"/>
              <w:rPr>
                <w:rFonts w:ascii="宋体" w:hAnsi="宋体"/>
              </w:rPr>
            </w:pPr>
            <w:r>
              <w:rPr>
                <w:rFonts w:ascii="宋体" w:hAnsi="宋体"/>
              </w:rPr>
              <w:t>注：投标文件中须提供业绩合同的扫描件/复印件,合同扫描件至少提供封面、服务内容</w:t>
            </w:r>
            <w:r>
              <w:rPr>
                <w:rFonts w:hint="eastAsia" w:ascii="宋体" w:hAnsi="宋体"/>
              </w:rPr>
              <w:t>、</w:t>
            </w:r>
            <w:r>
              <w:rPr>
                <w:rFonts w:ascii="宋体" w:hAnsi="宋体"/>
              </w:rPr>
              <w:t>签字盖章页</w:t>
            </w:r>
            <w:r>
              <w:rPr>
                <w:rFonts w:hint="eastAsia" w:ascii="宋体" w:hAnsi="宋体"/>
              </w:rPr>
              <w:t>和发票</w:t>
            </w:r>
            <w:r>
              <w:rPr>
                <w:rFonts w:ascii="宋体" w:hAnsi="宋体"/>
              </w:rPr>
              <w:t>。</w:t>
            </w:r>
          </w:p>
        </w:tc>
        <w:tc>
          <w:tcPr>
            <w:tcW w:w="517" w:type="pct"/>
            <w:noWrap w:val="0"/>
            <w:vAlign w:val="center"/>
          </w:tcPr>
          <w:p>
            <w:pPr>
              <w:spacing w:before="93" w:after="156" w:line="400" w:lineRule="atLeast"/>
              <w:jc w:val="center"/>
              <w:rPr>
                <w:rFonts w:ascii="宋体" w:hAnsi="宋体"/>
              </w:rPr>
            </w:pPr>
            <w:r>
              <w:rPr>
                <w:rFonts w:ascii="宋体" w:hAnsi="宋体"/>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vMerge w:val="continue"/>
            <w:noWrap w:val="0"/>
            <w:vAlign w:val="center"/>
          </w:tcPr>
          <w:p>
            <w:pPr>
              <w:spacing w:before="93" w:after="156" w:line="400" w:lineRule="atLeast"/>
              <w:jc w:val="center"/>
              <w:rPr>
                <w:rFonts w:ascii="宋体" w:hAnsi="宋体"/>
              </w:rPr>
            </w:pPr>
          </w:p>
        </w:tc>
        <w:tc>
          <w:tcPr>
            <w:tcW w:w="734" w:type="pct"/>
            <w:noWrap w:val="0"/>
            <w:vAlign w:val="center"/>
          </w:tcPr>
          <w:p>
            <w:pPr>
              <w:spacing w:before="93" w:after="156" w:line="400" w:lineRule="atLeast"/>
              <w:jc w:val="center"/>
              <w:rPr>
                <w:rFonts w:ascii="宋体" w:hAnsi="宋体"/>
              </w:rPr>
            </w:pPr>
            <w:r>
              <w:rPr>
                <w:rFonts w:ascii="宋体" w:hAnsi="宋体"/>
              </w:rPr>
              <w:t>投标人实力</w:t>
            </w:r>
          </w:p>
        </w:tc>
        <w:tc>
          <w:tcPr>
            <w:tcW w:w="3090" w:type="pct"/>
            <w:noWrap w:val="0"/>
            <w:vAlign w:val="center"/>
          </w:tcPr>
          <w:p>
            <w:pPr>
              <w:spacing w:before="93" w:after="156" w:line="400" w:lineRule="atLeast"/>
              <w:rPr>
                <w:rFonts w:ascii="宋体" w:hAnsi="宋体"/>
              </w:rPr>
            </w:pPr>
            <w:r>
              <w:rPr>
                <w:rFonts w:ascii="宋体" w:hAnsi="宋体"/>
              </w:rPr>
              <w:t>1、投标人具有</w:t>
            </w:r>
            <w:r>
              <w:rPr>
                <w:rFonts w:hint="eastAsia" w:ascii="宋体" w:hAnsi="宋体"/>
              </w:rPr>
              <w:t>ISO9000族质量管理体系认证、ISO20000族信息技术服务管理体系认证、ISO27000族信息安全管理体系认证证书</w:t>
            </w:r>
            <w:r>
              <w:rPr>
                <w:rFonts w:ascii="宋体" w:hAnsi="宋体"/>
              </w:rPr>
              <w:t>的，每提供一个证书得</w:t>
            </w:r>
            <w:r>
              <w:rPr>
                <w:rFonts w:hint="eastAsia" w:ascii="宋体" w:hAnsi="宋体"/>
                <w:lang w:val="en-US" w:eastAsia="zh-CN"/>
              </w:rPr>
              <w:t>3</w:t>
            </w:r>
            <w:r>
              <w:rPr>
                <w:rFonts w:ascii="宋体" w:hAnsi="宋体"/>
              </w:rPr>
              <w:t>分，提供2个证书得</w:t>
            </w:r>
            <w:r>
              <w:rPr>
                <w:rFonts w:hint="eastAsia" w:ascii="宋体" w:hAnsi="宋体"/>
                <w:lang w:val="en-US" w:eastAsia="zh-CN"/>
              </w:rPr>
              <w:t>6</w:t>
            </w:r>
            <w:r>
              <w:rPr>
                <w:rFonts w:ascii="宋体" w:hAnsi="宋体"/>
              </w:rPr>
              <w:t>分，提供3个证书得</w:t>
            </w:r>
            <w:r>
              <w:rPr>
                <w:rFonts w:hint="eastAsia" w:ascii="宋体" w:hAnsi="宋体"/>
                <w:lang w:val="en-US" w:eastAsia="zh-CN"/>
              </w:rPr>
              <w:t>9</w:t>
            </w:r>
            <w:r>
              <w:rPr>
                <w:rFonts w:ascii="宋体" w:hAnsi="宋体"/>
              </w:rPr>
              <w:t>分。</w:t>
            </w:r>
          </w:p>
          <w:p>
            <w:pPr>
              <w:spacing w:before="93" w:after="156" w:line="400" w:lineRule="atLeast"/>
              <w:rPr>
                <w:rFonts w:hint="eastAsia" w:ascii="宋体" w:hAnsi="宋体"/>
              </w:rPr>
            </w:pPr>
            <w:r>
              <w:rPr>
                <w:rFonts w:ascii="宋体" w:hAnsi="宋体"/>
              </w:rPr>
              <w:t>2、投标人具有</w:t>
            </w:r>
            <w:r>
              <w:rPr>
                <w:rFonts w:hint="eastAsia" w:ascii="宋体" w:hAnsi="宋体"/>
              </w:rPr>
              <w:t>有效期内的CMMI-5级专业资质认证</w:t>
            </w:r>
            <w:r>
              <w:rPr>
                <w:rFonts w:ascii="宋体" w:hAnsi="宋体"/>
              </w:rPr>
              <w:t>，得</w:t>
            </w:r>
            <w:r>
              <w:rPr>
                <w:rFonts w:hint="eastAsia" w:ascii="宋体" w:hAnsi="宋体"/>
                <w:lang w:val="en-US" w:eastAsia="zh-CN"/>
              </w:rPr>
              <w:t>6</w:t>
            </w:r>
            <w:r>
              <w:rPr>
                <w:rFonts w:ascii="宋体" w:hAnsi="宋体"/>
              </w:rPr>
              <w:t>分</w:t>
            </w:r>
            <w:r>
              <w:rPr>
                <w:rFonts w:hint="eastAsia" w:ascii="宋体" w:hAnsi="宋体"/>
              </w:rPr>
              <w:t>；CMMI-4级专业资质认证，得3分，专业资质认证CMMI-3级，得1分。本项目最高得</w:t>
            </w:r>
            <w:r>
              <w:rPr>
                <w:rFonts w:hint="eastAsia" w:ascii="宋体" w:hAnsi="宋体"/>
                <w:lang w:val="en-US" w:eastAsia="zh-CN"/>
              </w:rPr>
              <w:t>6</w:t>
            </w:r>
            <w:r>
              <w:rPr>
                <w:rFonts w:hint="eastAsia" w:ascii="宋体" w:hAnsi="宋体"/>
              </w:rPr>
              <w:t>分。</w:t>
            </w:r>
          </w:p>
          <w:p>
            <w:pPr>
              <w:spacing w:before="93" w:after="156" w:line="400" w:lineRule="atLeast"/>
              <w:rPr>
                <w:rFonts w:ascii="宋体" w:hAnsi="宋体"/>
              </w:rPr>
            </w:pPr>
            <w:r>
              <w:rPr>
                <w:rFonts w:ascii="宋体" w:hAnsi="宋体"/>
              </w:rPr>
              <w:t>3、投标人具有</w:t>
            </w:r>
            <w:r>
              <w:rPr>
                <w:rFonts w:hint="eastAsia" w:ascii="宋体" w:hAnsi="宋体"/>
              </w:rPr>
              <w:t>高新技术企业认定，得</w:t>
            </w:r>
            <w:r>
              <w:rPr>
                <w:rFonts w:hint="eastAsia" w:ascii="宋体" w:hAnsi="宋体"/>
                <w:lang w:val="en-US" w:eastAsia="zh-CN"/>
              </w:rPr>
              <w:t>5</w:t>
            </w:r>
            <w:r>
              <w:rPr>
                <w:rFonts w:hint="eastAsia" w:ascii="宋体" w:hAnsi="宋体"/>
              </w:rPr>
              <w:t>分。</w:t>
            </w:r>
          </w:p>
          <w:p>
            <w:pPr>
              <w:spacing w:before="93" w:after="156" w:line="400" w:lineRule="atLeast"/>
              <w:rPr>
                <w:rFonts w:ascii="宋体" w:hAnsi="宋体"/>
              </w:rPr>
            </w:pPr>
            <w:r>
              <w:rPr>
                <w:rFonts w:ascii="宋体" w:hAnsi="宋体"/>
              </w:rPr>
              <w:t>注：以上证书须提供证书扫描件或复印件。</w:t>
            </w:r>
          </w:p>
        </w:tc>
        <w:tc>
          <w:tcPr>
            <w:tcW w:w="517" w:type="pct"/>
            <w:noWrap w:val="0"/>
            <w:vAlign w:val="center"/>
          </w:tcPr>
          <w:p>
            <w:pPr>
              <w:spacing w:before="93" w:after="156" w:line="400" w:lineRule="atLeast"/>
              <w:jc w:val="center"/>
              <w:rPr>
                <w:rFonts w:ascii="宋体" w:hAnsi="宋体"/>
              </w:rPr>
            </w:pPr>
            <w:r>
              <w:rPr>
                <w:rFonts w:ascii="宋体" w:hAnsi="宋体"/>
              </w:rPr>
              <w:t>0-</w:t>
            </w:r>
            <w:r>
              <w:rPr>
                <w:rFonts w:hint="eastAsia" w:ascii="宋体" w:hAnsi="宋体"/>
                <w:lang w:val="en-US" w:eastAsia="zh-CN"/>
              </w:rPr>
              <w:t>20</w:t>
            </w:r>
            <w:r>
              <w:rPr>
                <w:rFonts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noWrap w:val="0"/>
            <w:vAlign w:val="center"/>
          </w:tcPr>
          <w:p>
            <w:pPr>
              <w:spacing w:before="93" w:after="156" w:line="400" w:lineRule="atLeast"/>
              <w:jc w:val="center"/>
              <w:rPr>
                <w:rFonts w:ascii="宋体" w:hAnsi="宋体"/>
              </w:rPr>
            </w:pPr>
            <w:r>
              <w:rPr>
                <w:rFonts w:ascii="宋体" w:hAnsi="宋体"/>
              </w:rPr>
              <w:t>价格分（</w:t>
            </w:r>
            <w:r>
              <w:rPr>
                <w:rFonts w:hint="eastAsia" w:ascii="宋体" w:hAnsi="宋体"/>
                <w:lang w:val="en-US" w:eastAsia="zh-CN"/>
              </w:rPr>
              <w:t>30</w:t>
            </w:r>
            <w:r>
              <w:rPr>
                <w:rFonts w:ascii="宋体" w:hAnsi="宋体"/>
              </w:rPr>
              <w:t>分）</w:t>
            </w:r>
          </w:p>
        </w:tc>
        <w:tc>
          <w:tcPr>
            <w:tcW w:w="734" w:type="pct"/>
            <w:noWrap w:val="0"/>
            <w:vAlign w:val="center"/>
          </w:tcPr>
          <w:p>
            <w:pPr>
              <w:spacing w:before="93" w:after="156" w:line="400" w:lineRule="atLeast"/>
              <w:jc w:val="center"/>
              <w:rPr>
                <w:rFonts w:ascii="宋体" w:hAnsi="宋体"/>
              </w:rPr>
            </w:pPr>
            <w:r>
              <w:rPr>
                <w:rFonts w:ascii="宋体" w:hAnsi="宋体"/>
              </w:rPr>
              <w:t>投标报价</w:t>
            </w:r>
          </w:p>
        </w:tc>
        <w:tc>
          <w:tcPr>
            <w:tcW w:w="3090" w:type="pct"/>
            <w:noWrap w:val="0"/>
            <w:vAlign w:val="center"/>
          </w:tcPr>
          <w:p>
            <w:pPr>
              <w:spacing w:before="93" w:after="156" w:line="400" w:lineRule="atLeast"/>
              <w:rPr>
                <w:rFonts w:ascii="宋体" w:hAnsi="宋体"/>
              </w:rPr>
            </w:pPr>
            <w:r>
              <w:rPr>
                <w:rFonts w:ascii="宋体" w:hAnsi="宋体"/>
              </w:rPr>
              <w:t>价格分统一采用低价优先法，即满足</w:t>
            </w:r>
            <w:r>
              <w:rPr>
                <w:rFonts w:hint="eastAsia" w:ascii="宋体" w:hAnsi="宋体"/>
              </w:rPr>
              <w:t>磋商</w:t>
            </w:r>
            <w:r>
              <w:rPr>
                <w:rFonts w:ascii="宋体" w:hAnsi="宋体"/>
              </w:rPr>
              <w:t xml:space="preserve">文件要求且投标价格最低的投标报价为评标基准价。其价格分为满分 </w:t>
            </w:r>
            <w:r>
              <w:rPr>
                <w:rFonts w:hint="eastAsia" w:ascii="宋体" w:hAnsi="宋体"/>
                <w:lang w:val="en-US" w:eastAsia="zh-CN"/>
              </w:rPr>
              <w:t>30</w:t>
            </w:r>
            <w:r>
              <w:rPr>
                <w:rFonts w:ascii="宋体" w:hAnsi="宋体"/>
              </w:rPr>
              <w:t>分。其他投标人的价格分统一按照下列公式计算：</w:t>
            </w:r>
          </w:p>
          <w:p>
            <w:pPr>
              <w:spacing w:before="93" w:after="156" w:line="400" w:lineRule="atLeast"/>
              <w:rPr>
                <w:rFonts w:ascii="宋体" w:hAnsi="宋体"/>
              </w:rPr>
            </w:pPr>
            <w:r>
              <w:rPr>
                <w:rFonts w:ascii="宋体" w:hAnsi="宋体"/>
              </w:rPr>
              <w:t>投标报价得分＝（评标基准价/投标报价）×</w:t>
            </w:r>
            <w:r>
              <w:rPr>
                <w:rFonts w:hint="eastAsia" w:ascii="宋体" w:hAnsi="宋体"/>
                <w:lang w:val="en-US" w:eastAsia="zh-CN"/>
              </w:rPr>
              <w:t>30</w:t>
            </w:r>
            <w:r>
              <w:rPr>
                <w:rFonts w:ascii="宋体" w:hAnsi="宋体"/>
              </w:rPr>
              <w:t>％×100</w:t>
            </w:r>
          </w:p>
        </w:tc>
        <w:tc>
          <w:tcPr>
            <w:tcW w:w="517" w:type="pct"/>
            <w:noWrap w:val="0"/>
            <w:vAlign w:val="center"/>
          </w:tcPr>
          <w:p>
            <w:pPr>
              <w:spacing w:before="93" w:after="156" w:line="400" w:lineRule="atLeast"/>
              <w:jc w:val="center"/>
              <w:rPr>
                <w:rFonts w:ascii="宋体" w:hAnsi="宋体"/>
              </w:rPr>
            </w:pPr>
            <w:r>
              <w:rPr>
                <w:rFonts w:ascii="宋体" w:hAnsi="宋体"/>
              </w:rPr>
              <w:t>0-</w:t>
            </w:r>
            <w:r>
              <w:rPr>
                <w:rFonts w:hint="eastAsia" w:ascii="宋体" w:hAnsi="宋体"/>
                <w:lang w:val="en-US" w:eastAsia="zh-CN"/>
              </w:rPr>
              <w:t>30</w:t>
            </w:r>
            <w:r>
              <w:rPr>
                <w:rFonts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noWrap w:val="0"/>
            <w:vAlign w:val="center"/>
          </w:tcPr>
          <w:p>
            <w:pPr>
              <w:spacing w:before="93" w:after="156" w:line="400" w:lineRule="atLeast"/>
              <w:jc w:val="center"/>
              <w:rPr>
                <w:rFonts w:hint="default" w:ascii="宋体" w:hAnsi="宋体" w:eastAsia="宋体"/>
                <w:lang w:val="en-US" w:eastAsia="zh-CN"/>
              </w:rPr>
            </w:pPr>
            <w:r>
              <w:rPr>
                <w:rFonts w:hint="eastAsia" w:ascii="宋体" w:hAnsi="宋体"/>
                <w:lang w:val="en-US" w:eastAsia="zh-CN"/>
              </w:rPr>
              <w:t>方案分（15分）</w:t>
            </w:r>
          </w:p>
        </w:tc>
        <w:tc>
          <w:tcPr>
            <w:tcW w:w="734" w:type="pct"/>
            <w:noWrap w:val="0"/>
            <w:vAlign w:val="center"/>
          </w:tcPr>
          <w:p>
            <w:pPr>
              <w:spacing w:before="93" w:after="156" w:line="400" w:lineRule="atLeast"/>
              <w:jc w:val="center"/>
              <w:rPr>
                <w:rFonts w:ascii="宋体" w:hAnsi="宋体"/>
              </w:rPr>
            </w:pPr>
            <w:r>
              <w:rPr>
                <w:rFonts w:ascii="宋体" w:hAnsi="宋体"/>
              </w:rPr>
              <w:t>服务方案</w:t>
            </w:r>
          </w:p>
        </w:tc>
        <w:tc>
          <w:tcPr>
            <w:tcW w:w="3090" w:type="pct"/>
            <w:noWrap w:val="0"/>
            <w:vAlign w:val="center"/>
          </w:tcPr>
          <w:p>
            <w:pPr>
              <w:spacing w:before="93" w:after="156" w:line="400" w:lineRule="atLeast"/>
              <w:rPr>
                <w:rFonts w:ascii="宋体" w:hAnsi="宋体"/>
              </w:rPr>
            </w:pPr>
            <w:r>
              <w:rPr>
                <w:rFonts w:ascii="宋体" w:hAnsi="宋体"/>
              </w:rPr>
              <w:t>1、服务方案工作范围清晰，具有完整的测评服务方案、项目实施计划、测评方法、风险说明及风险规避处置措施，测评内容可行性合理。评委对各家服务方案进行横向比较：</w:t>
            </w:r>
          </w:p>
          <w:p>
            <w:pPr>
              <w:spacing w:before="93" w:after="156" w:line="400" w:lineRule="atLeast"/>
              <w:rPr>
                <w:rFonts w:ascii="宋体" w:hAnsi="宋体"/>
              </w:rPr>
            </w:pPr>
            <w:r>
              <w:rPr>
                <w:rFonts w:ascii="宋体" w:hAnsi="宋体"/>
              </w:rPr>
              <w:t>方案全面、合理、准确，完全符合</w:t>
            </w:r>
            <w:r>
              <w:rPr>
                <w:rFonts w:hint="eastAsia" w:ascii="宋体" w:hAnsi="宋体"/>
              </w:rPr>
              <w:t>磋商</w:t>
            </w:r>
            <w:r>
              <w:rPr>
                <w:rFonts w:ascii="宋体" w:hAnsi="宋体"/>
              </w:rPr>
              <w:t>文件要求，得</w:t>
            </w:r>
            <w:r>
              <w:rPr>
                <w:rFonts w:hint="eastAsia" w:ascii="宋体" w:hAnsi="宋体"/>
                <w:lang w:val="en-US" w:eastAsia="zh-CN"/>
              </w:rPr>
              <w:t>8</w:t>
            </w:r>
            <w:r>
              <w:rPr>
                <w:rFonts w:ascii="宋体" w:hAnsi="宋体"/>
              </w:rPr>
              <w:t>-1</w:t>
            </w:r>
            <w:r>
              <w:rPr>
                <w:rFonts w:hint="eastAsia" w:ascii="宋体" w:hAnsi="宋体"/>
                <w:lang w:val="en-US" w:eastAsia="zh-CN"/>
              </w:rPr>
              <w:t>0</w:t>
            </w:r>
            <w:r>
              <w:rPr>
                <w:rFonts w:ascii="宋体" w:hAnsi="宋体"/>
              </w:rPr>
              <w:t>分；较合理、准确，基本符合</w:t>
            </w:r>
            <w:r>
              <w:rPr>
                <w:rFonts w:hint="eastAsia" w:ascii="宋体" w:hAnsi="宋体"/>
              </w:rPr>
              <w:t>磋商</w:t>
            </w:r>
            <w:r>
              <w:rPr>
                <w:rFonts w:ascii="宋体" w:hAnsi="宋体"/>
              </w:rPr>
              <w:t>文件要求，得</w:t>
            </w:r>
            <w:r>
              <w:rPr>
                <w:rFonts w:hint="eastAsia" w:ascii="宋体" w:hAnsi="宋体"/>
                <w:lang w:val="en-US" w:eastAsia="zh-CN"/>
              </w:rPr>
              <w:t>4</w:t>
            </w:r>
            <w:r>
              <w:rPr>
                <w:rFonts w:ascii="宋体" w:hAnsi="宋体"/>
              </w:rPr>
              <w:t>-</w:t>
            </w:r>
            <w:r>
              <w:rPr>
                <w:rFonts w:hint="eastAsia" w:ascii="宋体" w:hAnsi="宋体"/>
                <w:lang w:val="en-US" w:eastAsia="zh-CN"/>
              </w:rPr>
              <w:t>7</w:t>
            </w:r>
            <w:r>
              <w:rPr>
                <w:rFonts w:ascii="宋体" w:hAnsi="宋体"/>
              </w:rPr>
              <w:t>分；基本合理、准确，部分符合</w:t>
            </w:r>
            <w:r>
              <w:rPr>
                <w:rFonts w:hint="eastAsia" w:ascii="宋体" w:hAnsi="宋体"/>
              </w:rPr>
              <w:t>磋商</w:t>
            </w:r>
            <w:r>
              <w:rPr>
                <w:rFonts w:ascii="宋体" w:hAnsi="宋体"/>
              </w:rPr>
              <w:t>文件要求，得1-</w:t>
            </w:r>
            <w:r>
              <w:rPr>
                <w:rFonts w:hint="eastAsia" w:ascii="宋体" w:hAnsi="宋体"/>
                <w:lang w:val="en-US" w:eastAsia="zh-CN"/>
              </w:rPr>
              <w:t>3</w:t>
            </w:r>
            <w:r>
              <w:rPr>
                <w:rFonts w:ascii="宋体" w:hAnsi="宋体"/>
              </w:rPr>
              <w:t>分；差或未提供不得分。</w:t>
            </w:r>
          </w:p>
          <w:p>
            <w:pPr>
              <w:spacing w:before="93" w:after="156" w:line="400" w:lineRule="atLeast"/>
              <w:rPr>
                <w:rFonts w:ascii="宋体" w:hAnsi="宋体"/>
              </w:rPr>
            </w:pPr>
            <w:r>
              <w:rPr>
                <w:rFonts w:ascii="宋体" w:hAnsi="宋体"/>
              </w:rPr>
              <w:t>2、项目管理方案：工作范围清晰，具有完整的项目管理方法论和内容。评委对各家项目管理方案进行横向比较：</w:t>
            </w:r>
          </w:p>
          <w:p>
            <w:pPr>
              <w:spacing w:before="93" w:after="156" w:line="400" w:lineRule="atLeast"/>
              <w:rPr>
                <w:rFonts w:ascii="宋体" w:hAnsi="宋体"/>
              </w:rPr>
            </w:pPr>
            <w:r>
              <w:rPr>
                <w:rFonts w:ascii="宋体" w:hAnsi="宋体"/>
              </w:rPr>
              <w:t>方案全面、合理、准确，完全符合</w:t>
            </w:r>
            <w:r>
              <w:rPr>
                <w:rFonts w:hint="eastAsia" w:ascii="宋体" w:hAnsi="宋体"/>
              </w:rPr>
              <w:t>磋商</w:t>
            </w:r>
            <w:r>
              <w:rPr>
                <w:rFonts w:ascii="宋体" w:hAnsi="宋体"/>
              </w:rPr>
              <w:t>文件要求，得</w:t>
            </w:r>
            <w:r>
              <w:rPr>
                <w:rFonts w:hint="eastAsia" w:ascii="宋体" w:hAnsi="宋体"/>
                <w:lang w:val="en-US" w:eastAsia="zh-CN"/>
              </w:rPr>
              <w:t>4</w:t>
            </w:r>
            <w:r>
              <w:rPr>
                <w:rFonts w:ascii="宋体" w:hAnsi="宋体"/>
              </w:rPr>
              <w:t>-</w:t>
            </w:r>
            <w:r>
              <w:rPr>
                <w:rFonts w:hint="eastAsia" w:ascii="宋体" w:hAnsi="宋体"/>
                <w:lang w:val="en-US" w:eastAsia="zh-CN"/>
              </w:rPr>
              <w:t>5</w:t>
            </w:r>
            <w:r>
              <w:rPr>
                <w:rFonts w:ascii="宋体" w:hAnsi="宋体"/>
              </w:rPr>
              <w:t>分；较合理、准确，基本符合</w:t>
            </w:r>
            <w:r>
              <w:rPr>
                <w:rFonts w:hint="eastAsia" w:ascii="宋体" w:hAnsi="宋体"/>
              </w:rPr>
              <w:t>磋商</w:t>
            </w:r>
            <w:r>
              <w:rPr>
                <w:rFonts w:ascii="宋体" w:hAnsi="宋体"/>
              </w:rPr>
              <w:t>文件要求，得2-</w:t>
            </w:r>
            <w:r>
              <w:rPr>
                <w:rFonts w:hint="eastAsia" w:ascii="宋体" w:hAnsi="宋体"/>
                <w:lang w:val="en-US" w:eastAsia="zh-CN"/>
              </w:rPr>
              <w:t>3</w:t>
            </w:r>
            <w:r>
              <w:rPr>
                <w:rFonts w:ascii="宋体" w:hAnsi="宋体"/>
              </w:rPr>
              <w:t>分；基本合理、准确，部分符合</w:t>
            </w:r>
            <w:r>
              <w:rPr>
                <w:rFonts w:hint="eastAsia" w:ascii="宋体" w:hAnsi="宋体"/>
              </w:rPr>
              <w:t>磋商</w:t>
            </w:r>
            <w:r>
              <w:rPr>
                <w:rFonts w:ascii="宋体" w:hAnsi="宋体"/>
              </w:rPr>
              <w:t>文件要求，得0-1分；差或未提供不得分。</w:t>
            </w:r>
          </w:p>
        </w:tc>
        <w:tc>
          <w:tcPr>
            <w:tcW w:w="517" w:type="pct"/>
            <w:noWrap w:val="0"/>
            <w:vAlign w:val="center"/>
          </w:tcPr>
          <w:p>
            <w:pPr>
              <w:spacing w:before="93" w:after="156" w:line="400" w:lineRule="atLeast"/>
              <w:jc w:val="center"/>
              <w:rPr>
                <w:rFonts w:hint="default" w:ascii="宋体" w:hAnsi="宋体" w:eastAsia="宋体"/>
                <w:lang w:val="en-US" w:eastAsia="zh-CN"/>
              </w:rPr>
            </w:pPr>
            <w:r>
              <w:rPr>
                <w:rFonts w:hint="eastAsia" w:ascii="宋体" w:hAnsi="宋体"/>
                <w:lang w:val="en-US" w:eastAsia="zh-CN"/>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392" w:type="pct"/>
            <w:gridSpan w:val="2"/>
            <w:noWrap w:val="0"/>
            <w:vAlign w:val="center"/>
          </w:tcPr>
          <w:p>
            <w:pPr>
              <w:spacing w:before="93" w:after="156" w:line="400" w:lineRule="atLeast"/>
              <w:jc w:val="center"/>
              <w:rPr>
                <w:rFonts w:ascii="宋体" w:hAnsi="宋体"/>
              </w:rPr>
            </w:pPr>
            <w:r>
              <w:rPr>
                <w:rFonts w:ascii="宋体" w:hAnsi="宋体"/>
              </w:rPr>
              <w:t>投标人得分计算方法</w:t>
            </w:r>
          </w:p>
        </w:tc>
        <w:tc>
          <w:tcPr>
            <w:tcW w:w="3607" w:type="pct"/>
            <w:gridSpan w:val="2"/>
            <w:noWrap w:val="0"/>
            <w:vAlign w:val="center"/>
          </w:tcPr>
          <w:p>
            <w:pPr>
              <w:spacing w:before="93" w:after="156" w:line="400" w:lineRule="atLeast"/>
              <w:rPr>
                <w:rFonts w:ascii="宋体" w:hAnsi="宋体"/>
              </w:rPr>
            </w:pPr>
            <w:r>
              <w:rPr>
                <w:rFonts w:ascii="宋体" w:hAnsi="宋体"/>
              </w:rPr>
              <w:t>各投标人的技术标得分为各评委所评技术标合计分值的算术平均值（取小数点后两位，第三位的数字四舍五入）。</w:t>
            </w:r>
          </w:p>
          <w:p>
            <w:pPr>
              <w:spacing w:before="93" w:after="156" w:line="400" w:lineRule="atLeast"/>
              <w:rPr>
                <w:rFonts w:hint="default" w:ascii="宋体" w:hAnsi="宋体" w:eastAsia="宋体"/>
                <w:lang w:val="en-US" w:eastAsia="zh-CN"/>
              </w:rPr>
            </w:pPr>
            <w:r>
              <w:rPr>
                <w:rFonts w:ascii="宋体" w:hAnsi="宋体"/>
              </w:rPr>
              <w:t>投标人总得分=</w:t>
            </w:r>
            <w:r>
              <w:rPr>
                <w:rFonts w:hint="eastAsia" w:ascii="宋体" w:hAnsi="宋体"/>
                <w:lang w:val="en-US" w:eastAsia="zh-CN"/>
              </w:rPr>
              <w:t>实施能力得分+</w:t>
            </w:r>
            <w:r>
              <w:rPr>
                <w:rFonts w:ascii="宋体" w:hAnsi="宋体"/>
              </w:rPr>
              <w:t>资信分得分+价格分得分</w:t>
            </w:r>
            <w:r>
              <w:rPr>
                <w:rFonts w:hint="eastAsia" w:ascii="宋体" w:hAnsi="宋体"/>
                <w:lang w:val="en-US" w:eastAsia="zh-CN"/>
              </w:rPr>
              <w:t>+方案分得分</w:t>
            </w:r>
          </w:p>
        </w:tc>
      </w:tr>
    </w:tbl>
    <w:p>
      <w:pPr>
        <w:pStyle w:val="5"/>
        <w:rPr>
          <w:rFonts w:ascii="宋体" w:hAnsi="宋体"/>
        </w:rPr>
      </w:pPr>
      <w:r>
        <w:rPr>
          <w:rFonts w:hint="eastAsia" w:ascii="宋体" w:hAnsi="宋体"/>
        </w:rPr>
        <w:t>四、报价要求</w:t>
      </w:r>
    </w:p>
    <w:p>
      <w:pPr>
        <w:spacing w:before="93" w:after="156"/>
        <w:ind w:firstLine="480" w:firstLineChars="200"/>
        <w:rPr>
          <w:rFonts w:ascii="宋体" w:hAnsi="宋体"/>
        </w:rPr>
      </w:pPr>
      <w:r>
        <w:rPr>
          <w:rFonts w:hint="eastAsia" w:ascii="宋体" w:hAnsi="宋体"/>
        </w:rPr>
        <w:t>本项目总报价不得超过</w:t>
      </w:r>
      <w:r>
        <w:rPr>
          <w:rFonts w:hint="eastAsia" w:ascii="宋体" w:hAnsi="宋体"/>
          <w:lang w:val="en-US" w:eastAsia="zh-CN"/>
        </w:rPr>
        <w:t>4</w:t>
      </w:r>
      <w:r>
        <w:rPr>
          <w:rFonts w:hint="eastAsia" w:ascii="宋体" w:hAnsi="宋体"/>
        </w:rPr>
        <w:t>万元，超过无效。报价包含完成本项目服务期间所产生的一切费用，采购人后期不再另行追加费用。</w:t>
      </w:r>
    </w:p>
    <w:p>
      <w:pPr>
        <w:pStyle w:val="5"/>
        <w:rPr>
          <w:rFonts w:ascii="宋体" w:hAnsi="宋体"/>
        </w:rPr>
      </w:pPr>
      <w:r>
        <w:rPr>
          <w:rFonts w:hint="eastAsia" w:ascii="宋体" w:hAnsi="宋体"/>
        </w:rPr>
        <w:t>五、工期（供货期或服务期）和质量要求</w:t>
      </w:r>
    </w:p>
    <w:p>
      <w:pPr>
        <w:spacing w:before="93" w:after="156"/>
        <w:ind w:firstLine="480" w:firstLineChars="200"/>
        <w:rPr>
          <w:rFonts w:ascii="宋体" w:hAnsi="宋体"/>
        </w:rPr>
      </w:pPr>
      <w:r>
        <w:rPr>
          <w:rFonts w:hint="eastAsia" w:ascii="宋体" w:hAnsi="宋体"/>
        </w:rPr>
        <w:t>工期（供货期或服务期）：合同签署后2个月。</w:t>
      </w:r>
    </w:p>
    <w:p>
      <w:pPr>
        <w:spacing w:before="93" w:after="156"/>
        <w:ind w:firstLine="480" w:firstLineChars="200"/>
        <w:rPr>
          <w:rFonts w:hint="eastAsia" w:ascii="宋体" w:hAnsi="宋体"/>
        </w:rPr>
      </w:pPr>
      <w:r>
        <w:rPr>
          <w:rFonts w:hint="eastAsia" w:ascii="宋体" w:hAnsi="宋体"/>
        </w:rPr>
        <w:t>质量要求：</w:t>
      </w:r>
      <w:r>
        <w:rPr>
          <w:rFonts w:hint="eastAsia" w:ascii="宋体" w:hAnsi="宋体"/>
          <w:lang w:val="en-US" w:eastAsia="zh-CN"/>
        </w:rPr>
        <w:t>按照甲方要求完成服务工作，确保服务质量，</w:t>
      </w:r>
      <w:r>
        <w:rPr>
          <w:rFonts w:hAnsi="宋体"/>
        </w:rPr>
        <w:t>以</w:t>
      </w:r>
      <w:r>
        <w:rPr>
          <w:rFonts w:hint="eastAsia" w:hAnsi="宋体"/>
        </w:rPr>
        <w:t>最终上线的机器人流程稳定运行以及交付物符合合同约定</w:t>
      </w:r>
      <w:r>
        <w:rPr>
          <w:rFonts w:hAnsi="宋体"/>
        </w:rPr>
        <w:t>为准</w:t>
      </w:r>
      <w:r>
        <w:rPr>
          <w:rFonts w:hint="eastAsia" w:ascii="宋体" w:hAnsi="宋体"/>
        </w:rPr>
        <w:t>。</w:t>
      </w:r>
    </w:p>
    <w:p>
      <w:pPr>
        <w:pStyle w:val="5"/>
        <w:rPr>
          <w:rFonts w:ascii="宋体" w:hAnsi="宋体"/>
        </w:rPr>
      </w:pPr>
      <w:r>
        <w:rPr>
          <w:rFonts w:hint="eastAsia" w:ascii="宋体" w:hAnsi="宋体"/>
        </w:rPr>
        <w:t>六、支付方式</w:t>
      </w:r>
    </w:p>
    <w:p>
      <w:pPr>
        <w:spacing w:before="93" w:after="156"/>
        <w:ind w:firstLine="480" w:firstLineChars="200"/>
        <w:rPr>
          <w:rFonts w:ascii="宋体" w:hAnsi="宋体"/>
          <w:highlight w:val="none"/>
        </w:rPr>
      </w:pPr>
      <w:r>
        <w:rPr>
          <w:rFonts w:hint="eastAsia" w:ascii="宋体" w:hAnsi="宋体"/>
          <w:highlight w:val="none"/>
        </w:rPr>
        <w:t>在合同签署后10个工作日内支付5</w:t>
      </w:r>
      <w:r>
        <w:rPr>
          <w:rFonts w:ascii="宋体" w:hAnsi="宋体"/>
          <w:highlight w:val="none"/>
        </w:rPr>
        <w:t>0%</w:t>
      </w:r>
      <w:r>
        <w:rPr>
          <w:rFonts w:hint="eastAsia" w:ascii="宋体" w:hAnsi="宋体"/>
          <w:highlight w:val="none"/>
        </w:rPr>
        <w:t>费用；在机器人流程全部上线验收后支付剩余5</w:t>
      </w:r>
      <w:r>
        <w:rPr>
          <w:rFonts w:ascii="宋体" w:hAnsi="宋体"/>
          <w:highlight w:val="none"/>
        </w:rPr>
        <w:t>0%</w:t>
      </w:r>
      <w:r>
        <w:rPr>
          <w:rFonts w:hint="eastAsia" w:ascii="宋体" w:hAnsi="宋体"/>
          <w:highlight w:val="none"/>
        </w:rPr>
        <w:t>费用。</w:t>
      </w:r>
    </w:p>
    <w:p>
      <w:pPr>
        <w:pStyle w:val="5"/>
        <w:rPr>
          <w:rFonts w:ascii="宋体" w:hAnsi="宋体"/>
        </w:rPr>
      </w:pPr>
      <w:r>
        <w:rPr>
          <w:rFonts w:hint="eastAsia" w:ascii="宋体" w:hAnsi="宋体"/>
        </w:rPr>
        <w:t>七、提交响应文件截止时间及地点及相关事宜</w:t>
      </w:r>
    </w:p>
    <w:p>
      <w:pPr>
        <w:spacing w:before="93" w:after="156"/>
        <w:ind w:firstLine="480" w:firstLineChars="200"/>
        <w:rPr>
          <w:rFonts w:hint="eastAsia" w:ascii="宋体" w:hAnsi="宋体"/>
          <w:highlight w:val="none"/>
        </w:rPr>
      </w:pPr>
      <w:r>
        <w:rPr>
          <w:rFonts w:hint="eastAsia" w:ascii="宋体" w:hAnsi="宋体"/>
        </w:rPr>
        <w:t>供应商需将磋商响应文件准备</w:t>
      </w:r>
      <w:r>
        <w:rPr>
          <w:rFonts w:hint="eastAsia" w:ascii="宋体" w:hAnsi="宋体"/>
          <w:lang w:val="en-US" w:eastAsia="zh-CN"/>
        </w:rPr>
        <w:t>原件1</w:t>
      </w:r>
      <w:r>
        <w:rPr>
          <w:rFonts w:hint="eastAsia" w:ascii="宋体" w:hAnsi="宋体"/>
          <w:highlight w:val="none"/>
          <w:lang w:val="en-US" w:eastAsia="zh-CN"/>
        </w:rPr>
        <w:t>份</w:t>
      </w:r>
      <w:r>
        <w:rPr>
          <w:rFonts w:hint="eastAsia" w:ascii="宋体" w:hAnsi="宋体"/>
          <w:highlight w:val="none"/>
        </w:rPr>
        <w:t>打印装订后盖章密封，并于202</w:t>
      </w:r>
      <w:r>
        <w:rPr>
          <w:rFonts w:hint="eastAsia" w:ascii="宋体" w:hAnsi="宋体"/>
          <w:highlight w:val="none"/>
          <w:lang w:val="en-US" w:eastAsia="zh-CN"/>
        </w:rPr>
        <w:t>5</w:t>
      </w:r>
      <w:r>
        <w:rPr>
          <w:rFonts w:hint="eastAsia" w:ascii="宋体" w:hAnsi="宋体"/>
          <w:highlight w:val="none"/>
        </w:rPr>
        <w:t>年</w:t>
      </w:r>
      <w:r>
        <w:rPr>
          <w:rFonts w:hint="eastAsia" w:ascii="宋体" w:hAnsi="宋体"/>
          <w:highlight w:val="none"/>
          <w:lang w:val="en-US" w:eastAsia="zh-CN"/>
        </w:rPr>
        <w:t>7</w:t>
      </w:r>
      <w:r>
        <w:rPr>
          <w:rFonts w:hint="eastAsia" w:ascii="宋体" w:hAnsi="宋体"/>
          <w:highlight w:val="none"/>
        </w:rPr>
        <w:t>月</w:t>
      </w:r>
      <w:r>
        <w:rPr>
          <w:rFonts w:hint="eastAsia" w:ascii="宋体" w:hAnsi="宋体"/>
          <w:highlight w:val="none"/>
          <w:lang w:val="en-US" w:eastAsia="zh-CN"/>
        </w:rPr>
        <w:t>8</w:t>
      </w:r>
      <w:r>
        <w:rPr>
          <w:rFonts w:hint="eastAsia" w:ascii="宋体" w:hAnsi="宋体"/>
          <w:highlight w:val="none"/>
        </w:rPr>
        <w:t>日下午</w:t>
      </w:r>
      <w:r>
        <w:rPr>
          <w:rFonts w:ascii="宋体" w:hAnsi="宋体"/>
          <w:highlight w:val="none"/>
        </w:rPr>
        <w:t>15</w:t>
      </w:r>
      <w:r>
        <w:rPr>
          <w:rFonts w:hint="eastAsia" w:ascii="宋体" w:hAnsi="宋体"/>
          <w:highlight w:val="none"/>
        </w:rPr>
        <w:t>:</w:t>
      </w:r>
      <w:r>
        <w:rPr>
          <w:rFonts w:ascii="宋体" w:hAnsi="宋体"/>
          <w:highlight w:val="none"/>
        </w:rPr>
        <w:t>0</w:t>
      </w:r>
      <w:r>
        <w:rPr>
          <w:rFonts w:hint="eastAsia" w:ascii="宋体" w:hAnsi="宋体"/>
          <w:highlight w:val="none"/>
        </w:rPr>
        <w:t>0点前送达或邮寄至：合肥市蜀山区祁门路1688号兴泰金融广场1004室，邮箱：</w:t>
      </w:r>
      <w:r>
        <w:rPr>
          <w:rFonts w:hint="eastAsia" w:ascii="宋体" w:hAnsi="宋体"/>
          <w:highlight w:val="none"/>
          <w:lang w:val="en-US" w:eastAsia="zh-CN"/>
        </w:rPr>
        <w:t>654379250</w:t>
      </w:r>
      <w:r>
        <w:rPr>
          <w:rFonts w:hint="eastAsia" w:ascii="宋体" w:hAnsi="宋体"/>
          <w:highlight w:val="none"/>
        </w:rPr>
        <w:t>@qq.com。逾期未送达不予受理。</w:t>
      </w:r>
    </w:p>
    <w:p>
      <w:pPr>
        <w:spacing w:before="93" w:after="156"/>
        <w:rPr>
          <w:rFonts w:ascii="宋体" w:hAnsi="宋体"/>
          <w:highlight w:val="none"/>
        </w:rPr>
      </w:pPr>
      <w:r>
        <w:rPr>
          <w:rFonts w:hint="eastAsia" w:ascii="宋体" w:hAnsi="宋体"/>
          <w:highlight w:val="none"/>
        </w:rPr>
        <w:t>开启响应文件时间：202</w:t>
      </w:r>
      <w:r>
        <w:rPr>
          <w:rFonts w:ascii="宋体" w:hAnsi="宋体"/>
          <w:highlight w:val="none"/>
        </w:rPr>
        <w:t>5</w:t>
      </w:r>
      <w:r>
        <w:rPr>
          <w:rFonts w:hint="eastAsia" w:ascii="宋体" w:hAnsi="宋体"/>
          <w:highlight w:val="none"/>
        </w:rPr>
        <w:t>年</w:t>
      </w:r>
      <w:r>
        <w:rPr>
          <w:rFonts w:hint="eastAsia" w:ascii="宋体" w:hAnsi="宋体"/>
          <w:highlight w:val="none"/>
          <w:lang w:val="en-US" w:eastAsia="zh-CN"/>
        </w:rPr>
        <w:t>7</w:t>
      </w:r>
      <w:r>
        <w:rPr>
          <w:rFonts w:hint="eastAsia" w:ascii="宋体" w:hAnsi="宋体"/>
          <w:highlight w:val="none"/>
        </w:rPr>
        <w:t>月</w:t>
      </w:r>
      <w:r>
        <w:rPr>
          <w:rFonts w:hint="eastAsia" w:ascii="宋体" w:hAnsi="宋体"/>
          <w:highlight w:val="none"/>
          <w:lang w:val="en-US" w:eastAsia="zh-CN"/>
        </w:rPr>
        <w:t>8</w:t>
      </w:r>
      <w:r>
        <w:rPr>
          <w:rFonts w:hint="eastAsia" w:ascii="宋体" w:hAnsi="宋体"/>
          <w:highlight w:val="none"/>
        </w:rPr>
        <w:t>日下午15:00</w:t>
      </w:r>
    </w:p>
    <w:p>
      <w:pPr>
        <w:pStyle w:val="5"/>
        <w:rPr>
          <w:rFonts w:hint="eastAsia" w:ascii="宋体" w:hAnsi="宋体"/>
        </w:rPr>
      </w:pPr>
      <w:r>
        <w:rPr>
          <w:rFonts w:hint="eastAsia" w:ascii="宋体" w:hAnsi="宋体"/>
        </w:rPr>
        <w:t>八、联系方式</w:t>
      </w:r>
    </w:p>
    <w:p>
      <w:pPr>
        <w:spacing w:before="93" w:after="156"/>
        <w:ind w:firstLine="480" w:firstLineChars="200"/>
        <w:rPr>
          <w:rFonts w:hint="eastAsia" w:ascii="宋体" w:hAnsi="宋体" w:eastAsia="宋体"/>
          <w:highlight w:val="none"/>
          <w:lang w:eastAsia="zh-CN"/>
        </w:rPr>
      </w:pPr>
      <w:r>
        <w:rPr>
          <w:rFonts w:hint="eastAsia" w:ascii="宋体" w:hAnsi="宋体"/>
          <w:highlight w:val="none"/>
        </w:rPr>
        <w:t>联系人：</w:t>
      </w:r>
      <w:r>
        <w:rPr>
          <w:rFonts w:hint="eastAsia" w:ascii="宋体" w:hAnsi="宋体"/>
          <w:highlight w:val="none"/>
          <w:lang w:val="en-US" w:eastAsia="zh-CN"/>
        </w:rPr>
        <w:t>宇</w:t>
      </w:r>
      <w:r>
        <w:rPr>
          <w:rFonts w:hint="eastAsia" w:ascii="宋体" w:hAnsi="宋体"/>
          <w:highlight w:val="none"/>
        </w:rPr>
        <w:t>经理，电话：0551-62630762</w:t>
      </w:r>
      <w:r>
        <w:rPr>
          <w:rFonts w:hint="eastAsia" w:ascii="宋体" w:hAnsi="宋体"/>
          <w:highlight w:val="none"/>
          <w:lang w:eastAsia="zh-CN"/>
        </w:rPr>
        <w:t>，</w:t>
      </w:r>
      <w:r>
        <w:rPr>
          <w:rFonts w:hint="eastAsia" w:ascii="宋体" w:hAnsi="宋体"/>
          <w:highlight w:val="none"/>
        </w:rPr>
        <w:t>邮箱：</w:t>
      </w:r>
      <w:r>
        <w:rPr>
          <w:rFonts w:hint="eastAsia" w:ascii="宋体" w:hAnsi="宋体"/>
          <w:highlight w:val="none"/>
          <w:lang w:val="en-US" w:eastAsia="zh-CN"/>
        </w:rPr>
        <w:t>654379250</w:t>
      </w:r>
      <w:r>
        <w:rPr>
          <w:rFonts w:hint="eastAsia" w:ascii="宋体" w:hAnsi="宋体"/>
          <w:highlight w:val="none"/>
        </w:rPr>
        <w:t>@qq.com</w:t>
      </w:r>
    </w:p>
    <w:p>
      <w:pPr>
        <w:pStyle w:val="5"/>
      </w:pPr>
      <w:r>
        <w:rPr>
          <w:rFonts w:hint="eastAsia"/>
        </w:rPr>
        <w:t>九、二次报价相关信息</w:t>
      </w:r>
    </w:p>
    <w:p>
      <w:pPr>
        <w:spacing w:before="93" w:after="156"/>
        <w:ind w:firstLine="480" w:firstLineChars="200"/>
        <w:rPr>
          <w:rFonts w:hint="eastAsia"/>
        </w:rPr>
      </w:pPr>
      <w:r>
        <w:rPr>
          <w:rFonts w:hint="eastAsia"/>
        </w:rPr>
        <w:t>在接到采购人通知后的半小时内，将二次报价表（格式自拟）加盖公章发送至采购人邮箱（</w:t>
      </w:r>
      <w:r>
        <w:rPr>
          <w:rFonts w:hint="eastAsia"/>
          <w:lang w:val="en-US" w:eastAsia="zh-CN"/>
        </w:rPr>
        <w:t>654379250</w:t>
      </w:r>
      <w:r>
        <w:rPr>
          <w:rFonts w:hint="eastAsia"/>
        </w:rPr>
        <w:t>@qq.com）即为报价成功，请各位投标人在规定时间内提交报价。如未在规定时间内报价，则维持上轮报价。</w:t>
      </w:r>
    </w:p>
    <w:p>
      <w:pPr>
        <w:pStyle w:val="5"/>
        <w:pageBreakBefore/>
        <w:rPr>
          <w:rFonts w:hint="eastAsia"/>
        </w:rPr>
      </w:pPr>
      <w:r>
        <w:rPr>
          <w:rFonts w:hint="eastAsia"/>
        </w:rPr>
        <w:t>十、响应文件编制要求（格式）</w:t>
      </w:r>
    </w:p>
    <w:p>
      <w:pPr>
        <w:pStyle w:val="6"/>
        <w:spacing w:before="93" w:after="156"/>
        <w:jc w:val="center"/>
        <w:rPr>
          <w:rFonts w:ascii="宋体" w:hAnsi="宋体"/>
        </w:rPr>
      </w:pPr>
      <w:bookmarkStart w:id="0" w:name="_Toc116304873"/>
      <w:r>
        <w:rPr>
          <w:rFonts w:ascii="宋体" w:hAnsi="宋体"/>
        </w:rPr>
        <w:t>报价单</w:t>
      </w:r>
      <w:bookmarkEnd w:id="0"/>
    </w:p>
    <w:tbl>
      <w:tblPr>
        <w:tblStyle w:val="1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7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2461" w:type="dxa"/>
            <w:tcBorders>
              <w:top w:val="single" w:color="auto" w:sz="4" w:space="0"/>
              <w:bottom w:val="single" w:color="auto" w:sz="4" w:space="0"/>
              <w:right w:val="single" w:color="auto" w:sz="4" w:space="0"/>
            </w:tcBorders>
            <w:noWrap w:val="0"/>
            <w:vAlign w:val="center"/>
          </w:tcPr>
          <w:p>
            <w:pPr>
              <w:spacing w:before="93" w:after="156"/>
              <w:jc w:val="center"/>
              <w:rPr>
                <w:rFonts w:ascii="宋体" w:hAnsi="宋体"/>
                <w:b/>
                <w:bCs/>
              </w:rPr>
            </w:pPr>
            <w:r>
              <w:rPr>
                <w:rFonts w:ascii="宋体" w:hAnsi="宋体"/>
                <w:b/>
                <w:bCs/>
              </w:rPr>
              <w:t>项目名称</w:t>
            </w:r>
          </w:p>
        </w:tc>
        <w:tc>
          <w:tcPr>
            <w:tcW w:w="7259" w:type="dxa"/>
            <w:tcBorders>
              <w:top w:val="single" w:color="auto" w:sz="4" w:space="0"/>
              <w:bottom w:val="single" w:color="auto" w:sz="4" w:space="0"/>
              <w:right w:val="single" w:color="auto" w:sz="4" w:space="0"/>
            </w:tcBorders>
            <w:noWrap w:val="0"/>
            <w:vAlign w:val="center"/>
          </w:tcPr>
          <w:p>
            <w:pPr>
              <w:spacing w:before="93" w:after="15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2461" w:type="dxa"/>
            <w:tcBorders>
              <w:top w:val="nil"/>
            </w:tcBorders>
            <w:noWrap w:val="0"/>
            <w:vAlign w:val="center"/>
          </w:tcPr>
          <w:p>
            <w:pPr>
              <w:spacing w:before="93" w:after="156"/>
              <w:jc w:val="center"/>
              <w:rPr>
                <w:rFonts w:ascii="宋体" w:hAnsi="宋体"/>
                <w:b/>
                <w:bCs/>
              </w:rPr>
            </w:pPr>
            <w:r>
              <w:rPr>
                <w:rFonts w:ascii="宋体" w:hAnsi="宋体"/>
                <w:b/>
                <w:bCs/>
              </w:rPr>
              <w:t>投标人全称</w:t>
            </w:r>
          </w:p>
        </w:tc>
        <w:tc>
          <w:tcPr>
            <w:tcW w:w="7259" w:type="dxa"/>
            <w:tcBorders>
              <w:top w:val="nil"/>
            </w:tcBorders>
            <w:noWrap w:val="0"/>
            <w:vAlign w:val="center"/>
          </w:tcPr>
          <w:p>
            <w:pPr>
              <w:spacing w:before="93" w:after="15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trPr>
        <w:tc>
          <w:tcPr>
            <w:tcW w:w="2461" w:type="dxa"/>
            <w:noWrap w:val="0"/>
            <w:vAlign w:val="center"/>
          </w:tcPr>
          <w:p>
            <w:pPr>
              <w:spacing w:before="93" w:after="156"/>
              <w:jc w:val="center"/>
              <w:rPr>
                <w:rFonts w:ascii="宋体" w:hAnsi="宋体"/>
                <w:b/>
                <w:bCs/>
              </w:rPr>
            </w:pPr>
            <w:r>
              <w:rPr>
                <w:rFonts w:ascii="宋体" w:hAnsi="宋体"/>
                <w:b/>
                <w:bCs/>
              </w:rPr>
              <w:t>投标报价</w:t>
            </w:r>
          </w:p>
        </w:tc>
        <w:tc>
          <w:tcPr>
            <w:tcW w:w="7259" w:type="dxa"/>
            <w:noWrap w:val="0"/>
            <w:vAlign w:val="center"/>
          </w:tcPr>
          <w:p>
            <w:pPr>
              <w:spacing w:before="93" w:after="156"/>
              <w:jc w:val="center"/>
              <w:rPr>
                <w:rFonts w:ascii="宋体" w:hAnsi="宋体"/>
              </w:rPr>
            </w:pPr>
            <w:r>
              <w:rPr>
                <w:rFonts w:ascii="宋体" w:hAnsi="宋体"/>
              </w:rPr>
              <w:t>小写：</w:t>
            </w:r>
            <w:r>
              <w:rPr>
                <w:rFonts w:ascii="宋体" w:hAnsi="宋体"/>
                <w:u w:val="single"/>
              </w:rPr>
              <w:t xml:space="preserve">           </w:t>
            </w:r>
            <w:r>
              <w:rPr>
                <w:rFonts w:ascii="宋体" w:hAnsi="宋体"/>
              </w:rPr>
              <w:t>元</w:t>
            </w:r>
          </w:p>
          <w:p>
            <w:pPr>
              <w:spacing w:before="93" w:after="156"/>
              <w:jc w:val="center"/>
              <w:rPr>
                <w:rFonts w:ascii="宋体" w:hAnsi="宋体"/>
              </w:rPr>
            </w:pPr>
            <w:r>
              <w:rPr>
                <w:rFonts w:ascii="宋体" w:hAnsi="宋体"/>
              </w:rPr>
              <w:t>大写：</w:t>
            </w:r>
            <w:r>
              <w:rPr>
                <w:rFonts w:ascii="宋体" w:hAnsi="宋体"/>
                <w:u w:val="single"/>
              </w:rPr>
              <w:t xml:space="preserve">          </w:t>
            </w:r>
            <w:r>
              <w:rPr>
                <w:rFonts w:ascii="宋体" w:hAnsi="宋体"/>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461" w:type="dxa"/>
            <w:noWrap w:val="0"/>
            <w:vAlign w:val="center"/>
          </w:tcPr>
          <w:p>
            <w:pPr>
              <w:spacing w:before="93" w:after="156"/>
              <w:jc w:val="center"/>
              <w:rPr>
                <w:rFonts w:ascii="宋体" w:hAnsi="宋体"/>
                <w:b/>
                <w:bCs/>
              </w:rPr>
            </w:pPr>
            <w:r>
              <w:rPr>
                <w:rFonts w:ascii="宋体" w:hAnsi="宋体"/>
                <w:b/>
                <w:bCs/>
              </w:rPr>
              <w:t>服务期</w:t>
            </w:r>
          </w:p>
        </w:tc>
        <w:tc>
          <w:tcPr>
            <w:tcW w:w="7259" w:type="dxa"/>
            <w:noWrap w:val="0"/>
            <w:vAlign w:val="center"/>
          </w:tcPr>
          <w:p>
            <w:pPr>
              <w:spacing w:before="93" w:after="156"/>
              <w:rPr>
                <w:rFonts w:ascii="宋体" w:hAnsi="宋体"/>
              </w:rPr>
            </w:pP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461" w:type="dxa"/>
            <w:noWrap w:val="0"/>
            <w:vAlign w:val="center"/>
          </w:tcPr>
          <w:p>
            <w:pPr>
              <w:spacing w:before="93" w:after="156"/>
              <w:jc w:val="center"/>
              <w:rPr>
                <w:rFonts w:ascii="宋体" w:hAnsi="宋体"/>
                <w:b/>
                <w:bCs/>
              </w:rPr>
            </w:pPr>
            <w:r>
              <w:rPr>
                <w:rFonts w:ascii="宋体" w:hAnsi="宋体"/>
                <w:b/>
                <w:bCs/>
              </w:rPr>
              <w:t>备注</w:t>
            </w:r>
          </w:p>
        </w:tc>
        <w:tc>
          <w:tcPr>
            <w:tcW w:w="7259" w:type="dxa"/>
            <w:noWrap w:val="0"/>
            <w:vAlign w:val="center"/>
          </w:tcPr>
          <w:p>
            <w:pPr>
              <w:spacing w:before="93" w:after="156"/>
              <w:rPr>
                <w:rFonts w:ascii="宋体" w:hAnsi="宋体"/>
              </w:rPr>
            </w:pPr>
          </w:p>
        </w:tc>
      </w:tr>
    </w:tbl>
    <w:p>
      <w:pPr>
        <w:snapToGrid w:val="0"/>
        <w:spacing w:before="100" w:beforeAutospacing="1" w:after="100" w:afterAutospacing="1" w:line="360" w:lineRule="auto"/>
        <w:rPr>
          <w:rFonts w:ascii="宋体" w:hAnsi="宋体"/>
          <w:b/>
        </w:rPr>
      </w:pPr>
      <w:r>
        <w:rPr>
          <w:rFonts w:ascii="宋体" w:hAnsi="宋体"/>
          <w:b/>
        </w:rPr>
        <w:t>投标人盖章：                            日期：</w:t>
      </w:r>
    </w:p>
    <w:p>
      <w:pPr>
        <w:snapToGrid w:val="0"/>
        <w:spacing w:before="93" w:after="156" w:line="360" w:lineRule="auto"/>
        <w:rPr>
          <w:rFonts w:ascii="宋体" w:hAnsi="宋体"/>
          <w:bCs/>
        </w:rPr>
      </w:pPr>
      <w:r>
        <w:rPr>
          <w:rFonts w:ascii="宋体" w:hAnsi="宋体"/>
          <w:bCs/>
        </w:rPr>
        <w:t>1、投标报价为投标人在</w:t>
      </w:r>
      <w:r>
        <w:rPr>
          <w:rFonts w:ascii="宋体" w:hAnsi="宋体" w:cs="仿宋"/>
        </w:rPr>
        <w:t>招标</w:t>
      </w:r>
      <w:r>
        <w:rPr>
          <w:rFonts w:ascii="宋体" w:hAnsi="宋体"/>
          <w:bCs/>
        </w:rPr>
        <w:t>文件中提出的各项支付金额的总和。投标人的报价应包括本次</w:t>
      </w:r>
      <w:r>
        <w:rPr>
          <w:rFonts w:ascii="宋体" w:hAnsi="宋体" w:cs="仿宋"/>
        </w:rPr>
        <w:t>招标</w:t>
      </w:r>
      <w:r>
        <w:rPr>
          <w:rFonts w:ascii="宋体" w:hAnsi="宋体"/>
          <w:bCs/>
        </w:rPr>
        <w:t>全部内容及成本、利润、税金等所有费用。投标报价为最终报价。成交投标人应向建设单位出具税务发票。</w:t>
      </w:r>
    </w:p>
    <w:p>
      <w:pPr>
        <w:snapToGrid w:val="0"/>
        <w:spacing w:before="93" w:after="156" w:line="360" w:lineRule="auto"/>
        <w:rPr>
          <w:rFonts w:ascii="宋体" w:hAnsi="宋体"/>
          <w:bCs/>
        </w:rPr>
      </w:pPr>
      <w:r>
        <w:rPr>
          <w:rFonts w:ascii="宋体" w:hAnsi="宋体"/>
          <w:bCs/>
        </w:rPr>
        <w:t>2、本表中如存在大写金额与小写金额不一致的，投标人须以大写金额为准进行修正；总价金额与依据单价计算出的结果不一致的，须以单价金额为准进行修正，除单价金额小数点有明显错误。</w:t>
      </w:r>
    </w:p>
    <w:p>
      <w:pPr>
        <w:pStyle w:val="6"/>
        <w:pageBreakBefore/>
        <w:spacing w:before="93" w:after="156"/>
        <w:jc w:val="center"/>
      </w:pPr>
      <w:bookmarkStart w:id="1" w:name="_Toc116304874"/>
      <w:r>
        <w:t>法人代表授权书</w:t>
      </w:r>
      <w:bookmarkEnd w:id="1"/>
    </w:p>
    <w:p>
      <w:pPr>
        <w:wordWrap w:val="0"/>
        <w:snapToGrid w:val="0"/>
        <w:spacing w:before="93" w:after="156"/>
        <w:ind w:firstLine="480" w:firstLineChars="200"/>
        <w:rPr>
          <w:rFonts w:ascii="宋体" w:hAnsi="宋体"/>
        </w:rPr>
      </w:pPr>
      <w:r>
        <w:rPr>
          <w:rFonts w:ascii="宋体" w:hAnsi="宋体"/>
        </w:rPr>
        <w:t>本授权书声明：</w:t>
      </w:r>
      <w:r>
        <w:rPr>
          <w:rFonts w:ascii="宋体" w:hAnsi="宋体"/>
          <w:u w:val="single"/>
        </w:rPr>
        <w:t xml:space="preserve">           </w:t>
      </w:r>
      <w:r>
        <w:rPr>
          <w:rFonts w:ascii="宋体" w:hAnsi="宋体"/>
        </w:rPr>
        <w:t>公司的</w:t>
      </w:r>
      <w:r>
        <w:rPr>
          <w:rFonts w:ascii="宋体" w:hAnsi="宋体"/>
          <w:u w:val="single"/>
        </w:rPr>
        <w:t xml:space="preserve">       </w:t>
      </w:r>
      <w:r>
        <w:rPr>
          <w:rFonts w:ascii="宋体" w:hAnsi="宋体"/>
        </w:rPr>
        <w:t>（法人代表姓名、职务）代表本公司授权</w:t>
      </w:r>
      <w:r>
        <w:rPr>
          <w:rFonts w:ascii="宋体" w:hAnsi="宋体"/>
          <w:u w:val="single"/>
        </w:rPr>
        <w:t xml:space="preserve">        </w:t>
      </w:r>
      <w:r>
        <w:rPr>
          <w:rFonts w:ascii="宋体" w:hAnsi="宋体"/>
        </w:rPr>
        <w:t>（</w:t>
      </w:r>
      <w:r>
        <w:rPr>
          <w:rFonts w:hint="eastAsia" w:ascii="宋体" w:hAnsi="宋体"/>
        </w:rPr>
        <w:t>代理</w:t>
      </w:r>
      <w:r>
        <w:rPr>
          <w:rFonts w:ascii="宋体" w:hAnsi="宋体"/>
        </w:rPr>
        <w:t>人的姓名、职务）为本公司的合法代理人，参加贵单位</w:t>
      </w:r>
      <w:r>
        <w:rPr>
          <w:rFonts w:ascii="宋体" w:hAnsi="宋体"/>
          <w:b/>
          <w:u w:val="single"/>
        </w:rPr>
        <w:t xml:space="preserve">            </w:t>
      </w:r>
      <w:r>
        <w:rPr>
          <w:rFonts w:ascii="宋体" w:hAnsi="宋体"/>
        </w:rPr>
        <w:t>项目的投标、合同签订，以及合同执行等活动，其可以本公司名义处理一切与之有关的事务。</w:t>
      </w:r>
    </w:p>
    <w:p>
      <w:pPr>
        <w:wordWrap w:val="0"/>
        <w:snapToGrid w:val="0"/>
        <w:spacing w:before="93" w:after="156"/>
        <w:ind w:firstLine="480" w:firstLineChars="200"/>
        <w:rPr>
          <w:rFonts w:ascii="宋体" w:hAnsi="宋体"/>
        </w:rPr>
      </w:pPr>
      <w:r>
        <w:rPr>
          <w:rFonts w:ascii="宋体" w:hAnsi="宋体"/>
        </w:rPr>
        <w:t>特此声明。</w:t>
      </w:r>
    </w:p>
    <w:p>
      <w:pPr>
        <w:wordWrap w:val="0"/>
        <w:snapToGrid w:val="0"/>
        <w:spacing w:before="93" w:after="156"/>
        <w:ind w:firstLine="480" w:firstLineChars="200"/>
        <w:rPr>
          <w:rFonts w:ascii="宋体" w:hAnsi="宋体"/>
        </w:rPr>
      </w:pPr>
    </w:p>
    <w:p>
      <w:pPr>
        <w:wordWrap w:val="0"/>
        <w:snapToGrid w:val="0"/>
        <w:spacing w:before="93" w:after="156"/>
        <w:ind w:firstLine="480" w:firstLineChars="200"/>
        <w:rPr>
          <w:rFonts w:ascii="宋体" w:hAnsi="宋体"/>
          <w:u w:val="single"/>
        </w:rPr>
      </w:pPr>
      <w:r>
        <w:rPr>
          <w:rFonts w:ascii="宋体" w:hAnsi="宋体"/>
        </w:rPr>
        <w:t>法人代表签字：</w:t>
      </w:r>
      <w:r>
        <w:rPr>
          <w:rFonts w:ascii="宋体" w:hAnsi="宋体"/>
          <w:u w:val="single"/>
        </w:rPr>
        <w:t xml:space="preserve">           </w:t>
      </w:r>
    </w:p>
    <w:p>
      <w:pPr>
        <w:wordWrap w:val="0"/>
        <w:snapToGrid w:val="0"/>
        <w:spacing w:before="93" w:after="156"/>
        <w:ind w:firstLine="480" w:firstLineChars="200"/>
        <w:rPr>
          <w:rFonts w:ascii="宋体" w:hAnsi="宋体"/>
          <w:u w:val="single"/>
        </w:rPr>
      </w:pPr>
      <w:r>
        <w:rPr>
          <w:rFonts w:ascii="宋体" w:hAnsi="宋体"/>
        </w:rPr>
        <w:t>职务：</w:t>
      </w:r>
      <w:r>
        <w:rPr>
          <w:rFonts w:ascii="宋体" w:hAnsi="宋体"/>
          <w:u w:val="single"/>
        </w:rPr>
        <w:t xml:space="preserve">              </w:t>
      </w:r>
    </w:p>
    <w:p>
      <w:pPr>
        <w:wordWrap w:val="0"/>
        <w:snapToGrid w:val="0"/>
        <w:spacing w:before="93" w:after="156"/>
        <w:ind w:firstLine="480" w:firstLineChars="200"/>
        <w:rPr>
          <w:rFonts w:ascii="宋体" w:hAnsi="宋体"/>
        </w:rPr>
      </w:pPr>
      <w:r>
        <w:rPr>
          <w:rFonts w:ascii="宋体" w:hAnsi="宋体"/>
        </w:rPr>
        <w:t>代理人签字：</w:t>
      </w:r>
      <w:r>
        <w:rPr>
          <w:rFonts w:ascii="宋体" w:hAnsi="宋体"/>
          <w:u w:val="single"/>
        </w:rPr>
        <w:t xml:space="preserve">              </w:t>
      </w:r>
    </w:p>
    <w:p>
      <w:pPr>
        <w:wordWrap w:val="0"/>
        <w:snapToGrid w:val="0"/>
        <w:spacing w:before="93" w:after="156"/>
        <w:ind w:firstLine="480" w:firstLineChars="200"/>
        <w:rPr>
          <w:rFonts w:ascii="宋体" w:hAnsi="宋体"/>
        </w:rPr>
      </w:pPr>
      <w:r>
        <w:rPr>
          <w:rFonts w:ascii="宋体" w:hAnsi="宋体"/>
        </w:rPr>
        <w:t>职务：</w:t>
      </w:r>
      <w:r>
        <w:rPr>
          <w:rFonts w:ascii="宋体" w:hAnsi="宋体"/>
          <w:u w:val="single"/>
        </w:rPr>
        <w:t xml:space="preserve">              </w:t>
      </w:r>
    </w:p>
    <w:p>
      <w:pPr>
        <w:wordWrap w:val="0"/>
        <w:snapToGrid w:val="0"/>
        <w:spacing w:before="93" w:after="156"/>
        <w:ind w:firstLine="480" w:firstLineChars="200"/>
        <w:rPr>
          <w:rFonts w:ascii="宋体" w:hAnsi="宋体"/>
          <w:u w:val="single"/>
        </w:rPr>
      </w:pPr>
      <w:r>
        <w:rPr>
          <w:rFonts w:ascii="宋体" w:hAnsi="宋体"/>
        </w:rPr>
        <w:t>投标人名称(加盖公章)：</w:t>
      </w:r>
      <w:r>
        <w:rPr>
          <w:rFonts w:ascii="宋体" w:hAnsi="宋体"/>
          <w:u w:val="single"/>
        </w:rPr>
        <w:t xml:space="preserve">                       </w:t>
      </w:r>
    </w:p>
    <w:p>
      <w:pPr>
        <w:wordWrap w:val="0"/>
        <w:spacing w:before="93" w:after="156"/>
        <w:ind w:firstLine="480" w:firstLineChars="200"/>
        <w:rPr>
          <w:rFonts w:ascii="宋体" w:hAnsi="宋体"/>
          <w:u w:val="single"/>
        </w:rPr>
      </w:pPr>
      <w:r>
        <w:rPr>
          <w:rFonts w:ascii="宋体" w:hAnsi="宋体"/>
        </w:rPr>
        <w:t>日期：</w:t>
      </w:r>
      <w:r>
        <w:rPr>
          <w:rFonts w:ascii="宋体" w:hAnsi="宋体"/>
          <w:u w:val="single"/>
        </w:rPr>
        <w:t xml:space="preserve">      </w:t>
      </w:r>
    </w:p>
    <w:p>
      <w:pPr>
        <w:pStyle w:val="6"/>
        <w:pageBreakBefore/>
        <w:spacing w:before="93" w:after="156"/>
      </w:pPr>
      <w:bookmarkStart w:id="2" w:name="_Toc116304875"/>
      <w:r>
        <w:rPr>
          <w:rFonts w:hint="eastAsia"/>
        </w:rPr>
        <w:t>营业执照</w:t>
      </w:r>
      <w:bookmarkEnd w:id="2"/>
    </w:p>
    <w:p>
      <w:pPr>
        <w:spacing w:before="93" w:after="156"/>
        <w:rPr>
          <w:rFonts w:ascii="宋体" w:hAnsi="宋体"/>
        </w:rPr>
      </w:pPr>
    </w:p>
    <w:p>
      <w:pPr>
        <w:pStyle w:val="6"/>
        <w:spacing w:before="93" w:after="156"/>
      </w:pPr>
      <w:bookmarkStart w:id="3" w:name="_Toc116304876"/>
      <w:r>
        <w:rPr>
          <w:rFonts w:hint="eastAsia"/>
        </w:rPr>
        <w:t>投标人综合情况简介</w:t>
      </w:r>
      <w:bookmarkEnd w:id="3"/>
    </w:p>
    <w:p>
      <w:pPr>
        <w:spacing w:before="93" w:after="156"/>
        <w:jc w:val="center"/>
        <w:rPr>
          <w:rFonts w:hint="eastAsia" w:ascii="宋体" w:hAnsi="宋体"/>
        </w:rPr>
      </w:pPr>
      <w:r>
        <w:rPr>
          <w:rFonts w:hint="eastAsia" w:ascii="宋体" w:hAnsi="宋体"/>
        </w:rPr>
        <w:t>格式自拟</w:t>
      </w:r>
    </w:p>
    <w:p>
      <w:pPr>
        <w:pStyle w:val="6"/>
        <w:spacing w:before="93" w:after="156"/>
        <w:rPr>
          <w:rFonts w:hint="eastAsia" w:eastAsia="宋体"/>
          <w:b/>
          <w:bCs/>
          <w:lang w:val="en-US" w:eastAsia="zh-CN"/>
        </w:rPr>
      </w:pPr>
      <w:r>
        <w:rPr>
          <w:rFonts w:hint="eastAsia" w:eastAsia="宋体"/>
          <w:b/>
          <w:bCs/>
          <w:lang w:val="en-US" w:eastAsia="zh-CN"/>
        </w:rPr>
        <w:t>实施能力简介（相关专利与著作权、项目经理配备等）</w:t>
      </w:r>
    </w:p>
    <w:p>
      <w:pPr>
        <w:spacing w:before="93" w:after="156"/>
        <w:jc w:val="center"/>
        <w:rPr>
          <w:rFonts w:hint="eastAsia" w:ascii="宋体" w:hAnsi="宋体"/>
        </w:rPr>
      </w:pPr>
      <w:r>
        <w:rPr>
          <w:rFonts w:hint="eastAsia" w:ascii="宋体" w:hAnsi="宋体"/>
        </w:rPr>
        <w:t>格式自拟</w:t>
      </w:r>
    </w:p>
    <w:p>
      <w:pPr>
        <w:pStyle w:val="6"/>
        <w:spacing w:before="93" w:after="156"/>
        <w:rPr>
          <w:rFonts w:hint="eastAsia" w:eastAsia="宋体"/>
          <w:b/>
          <w:bCs/>
          <w:lang w:val="en-US" w:eastAsia="zh-CN"/>
        </w:rPr>
      </w:pPr>
      <w:r>
        <w:rPr>
          <w:rFonts w:hint="eastAsia" w:eastAsia="宋体"/>
          <w:b/>
          <w:bCs/>
          <w:lang w:val="en-US" w:eastAsia="zh-CN"/>
        </w:rPr>
        <w:t>资信情况简介（投标人业绩案例、实力等）</w:t>
      </w:r>
    </w:p>
    <w:p>
      <w:pPr>
        <w:spacing w:before="93" w:after="156"/>
        <w:jc w:val="center"/>
        <w:rPr>
          <w:rFonts w:hint="eastAsia" w:ascii="宋体" w:hAnsi="宋体"/>
        </w:rPr>
      </w:pPr>
      <w:r>
        <w:rPr>
          <w:rFonts w:hint="eastAsia" w:ascii="宋体" w:hAnsi="宋体"/>
        </w:rPr>
        <w:t>格式自拟</w:t>
      </w:r>
    </w:p>
    <w:p>
      <w:pPr>
        <w:pStyle w:val="6"/>
        <w:spacing w:before="93" w:after="156"/>
        <w:rPr>
          <w:rFonts w:hint="eastAsia" w:eastAsia="宋体"/>
          <w:b/>
          <w:bCs/>
          <w:lang w:val="en-US" w:eastAsia="zh-CN"/>
        </w:rPr>
      </w:pPr>
      <w:r>
        <w:rPr>
          <w:rFonts w:hint="eastAsia" w:eastAsia="宋体"/>
          <w:b/>
          <w:bCs/>
          <w:lang w:val="en-US" w:eastAsia="zh-CN"/>
        </w:rPr>
        <w:t>本次服务方案概要（服务方案、管理方案等）</w:t>
      </w:r>
    </w:p>
    <w:p>
      <w:pPr>
        <w:spacing w:before="93" w:after="156"/>
        <w:jc w:val="center"/>
      </w:pPr>
      <w:r>
        <w:rPr>
          <w:rFonts w:hint="eastAsia" w:ascii="宋体" w:hAnsi="宋体"/>
        </w:rPr>
        <w:t>格式自拟</w:t>
      </w:r>
    </w:p>
    <w:p>
      <w:pPr>
        <w:pStyle w:val="6"/>
        <w:spacing w:before="93" w:after="156"/>
      </w:pPr>
      <w:bookmarkStart w:id="4" w:name="_Toc116304880"/>
      <w:r>
        <w:t>其他材料</w:t>
      </w:r>
      <w:bookmarkEnd w:id="4"/>
    </w:p>
    <w:p>
      <w:pPr>
        <w:spacing w:before="93" w:after="156"/>
        <w:jc w:val="center"/>
        <w:rPr>
          <w:rFonts w:ascii="宋体" w:hAnsi="宋体"/>
        </w:rPr>
      </w:pPr>
      <w:r>
        <w:rPr>
          <w:rFonts w:hint="eastAsia" w:ascii="宋体" w:hAnsi="宋体"/>
        </w:rPr>
        <w:t>格式自拟</w:t>
      </w:r>
    </w:p>
    <w:p>
      <w:pPr>
        <w:spacing w:before="93" w:after="156"/>
        <w:rPr>
          <w:rFonts w:ascii="宋体" w:hAnsi="宋体"/>
        </w:rPr>
      </w:pPr>
    </w:p>
    <w:p>
      <w:pPr>
        <w:spacing w:before="93" w:after="156"/>
        <w:rPr>
          <w:rFonts w:ascii="宋体" w:hAnsi="宋体"/>
        </w:rPr>
      </w:pPr>
    </w:p>
    <w:p>
      <w:pPr>
        <w:spacing w:before="93" w:after="156"/>
        <w:rPr>
          <w:rFonts w:ascii="宋体" w:hAnsi="宋体"/>
        </w:rPr>
      </w:pPr>
    </w:p>
    <w:p>
      <w:pPr>
        <w:pStyle w:val="5"/>
        <w:pageBreakBefore/>
      </w:pPr>
      <w:bookmarkStart w:id="5" w:name="_Toc116304863"/>
      <w:r>
        <w:rPr>
          <w:rFonts w:hint="eastAsia"/>
        </w:rPr>
        <w:t>十、采购需求</w:t>
      </w:r>
      <w:bookmarkEnd w:id="5"/>
    </w:p>
    <w:p>
      <w:pPr>
        <w:pStyle w:val="6"/>
        <w:numPr>
          <w:ilvl w:val="1"/>
          <w:numId w:val="0"/>
        </w:numPr>
        <w:spacing w:before="93" w:beforeLines="0" w:after="156" w:afterLines="0" w:line="480" w:lineRule="atLeast"/>
        <w:rPr>
          <w:rFonts w:ascii="宋体" w:hAnsi="宋体" w:cs="宋体"/>
          <w:color w:val="000000"/>
          <w:shd w:val="clear" w:color="auto" w:fill="FFFFFF"/>
        </w:rPr>
      </w:pPr>
      <w:bookmarkStart w:id="6" w:name="_Toc116304864"/>
      <w:bookmarkStart w:id="7" w:name="_Toc53217151"/>
      <w:r>
        <w:rPr>
          <w:rFonts w:ascii="宋体" w:hAnsi="宋体"/>
        </w:rPr>
        <w:t>项目概况</w:t>
      </w:r>
      <w:bookmarkEnd w:id="6"/>
      <w:bookmarkEnd w:id="7"/>
    </w:p>
    <w:p>
      <w:pPr>
        <w:pStyle w:val="2"/>
        <w:spacing w:before="93" w:after="156"/>
        <w:ind w:left="0" w:leftChars="0" w:firstLine="480"/>
        <w:rPr>
          <w:rFonts w:ascii="宋体" w:hAnsi="宋体"/>
        </w:rPr>
      </w:pPr>
      <w:r>
        <w:rPr>
          <w:rFonts w:hint="eastAsia" w:ascii="宋体" w:hAnsi="宋体"/>
        </w:rPr>
        <w:t>人力成本不断提升，面对外部激烈的竞争环境，企业降本提效压力不断增大；同时，人工智能信息技术不断发展，诸多机械、重复、低效的工作正在逐步由智能机器人替代。在此背景下，安徽省兴泰融资担保集团有限公司（以下简称“安徽兴泰担保”）结合网银管理业务痛点，采购银行网银RPA机器人流程自动化产品和实施开发服务。</w:t>
      </w:r>
    </w:p>
    <w:p>
      <w:pPr>
        <w:pStyle w:val="6"/>
        <w:numPr>
          <w:ilvl w:val="1"/>
          <w:numId w:val="0"/>
        </w:numPr>
        <w:spacing w:before="93" w:beforeLines="0" w:after="156" w:afterLines="0" w:line="480" w:lineRule="atLeast"/>
        <w:rPr>
          <w:rFonts w:ascii="宋体" w:hAnsi="宋体"/>
        </w:rPr>
      </w:pPr>
      <w:bookmarkStart w:id="8" w:name="_Toc116304865"/>
      <w:bookmarkStart w:id="9" w:name="_Toc53217152"/>
      <w:r>
        <w:rPr>
          <w:rFonts w:ascii="宋体" w:hAnsi="宋体"/>
        </w:rPr>
        <w:t>项目实施范围</w:t>
      </w:r>
      <w:bookmarkEnd w:id="8"/>
      <w:bookmarkEnd w:id="9"/>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3885"/>
        <w:gridCol w:w="275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16" w:type="dxa"/>
            <w:shd w:val="clear" w:color="000000" w:fill="F2F2F2"/>
            <w:noWrap w:val="0"/>
            <w:vAlign w:val="top"/>
          </w:tcPr>
          <w:p>
            <w:pPr>
              <w:spacing w:before="93" w:after="156"/>
              <w:jc w:val="center"/>
              <w:rPr>
                <w:rFonts w:ascii="宋体" w:hAnsi="宋体"/>
                <w:b/>
                <w:bCs/>
              </w:rPr>
            </w:pPr>
            <w:r>
              <w:rPr>
                <w:rFonts w:ascii="宋体" w:hAnsi="宋体"/>
                <w:b/>
                <w:bCs/>
              </w:rPr>
              <w:t>序号</w:t>
            </w:r>
          </w:p>
        </w:tc>
        <w:tc>
          <w:tcPr>
            <w:tcW w:w="3885" w:type="dxa"/>
            <w:shd w:val="clear" w:color="000000" w:fill="F2F2F2"/>
            <w:noWrap w:val="0"/>
            <w:vAlign w:val="top"/>
          </w:tcPr>
          <w:p>
            <w:pPr>
              <w:spacing w:before="93" w:after="156"/>
              <w:jc w:val="center"/>
              <w:rPr>
                <w:rFonts w:ascii="宋体" w:hAnsi="宋体"/>
                <w:b/>
                <w:bCs/>
              </w:rPr>
            </w:pPr>
            <w:r>
              <w:rPr>
                <w:rFonts w:hint="eastAsia" w:ascii="宋体" w:hAnsi="宋体"/>
                <w:b/>
                <w:bCs/>
              </w:rPr>
              <w:t>采购内容</w:t>
            </w:r>
          </w:p>
        </w:tc>
        <w:tc>
          <w:tcPr>
            <w:tcW w:w="2755" w:type="dxa"/>
            <w:shd w:val="clear" w:color="000000" w:fill="F2F2F2"/>
            <w:noWrap w:val="0"/>
            <w:vAlign w:val="top"/>
          </w:tcPr>
          <w:p>
            <w:pPr>
              <w:spacing w:before="93" w:after="156"/>
              <w:jc w:val="center"/>
              <w:rPr>
                <w:rFonts w:ascii="宋体" w:hAnsi="宋体"/>
                <w:b/>
                <w:bCs/>
              </w:rPr>
            </w:pPr>
            <w:r>
              <w:rPr>
                <w:rFonts w:hint="eastAsia" w:ascii="宋体" w:hAnsi="宋体"/>
                <w:b/>
                <w:bCs/>
              </w:rPr>
              <w:t>数量</w:t>
            </w:r>
          </w:p>
        </w:tc>
        <w:tc>
          <w:tcPr>
            <w:tcW w:w="1216" w:type="dxa"/>
            <w:shd w:val="clear" w:color="000000" w:fill="F2F2F2"/>
            <w:noWrap w:val="0"/>
            <w:vAlign w:val="top"/>
          </w:tcPr>
          <w:p>
            <w:pPr>
              <w:spacing w:before="93" w:after="156"/>
              <w:jc w:val="center"/>
              <w:rPr>
                <w:rFonts w:ascii="宋体" w:hAnsi="宋体"/>
                <w:b/>
                <w:bCs/>
              </w:rPr>
            </w:pPr>
            <w:r>
              <w:rPr>
                <w:rFonts w:ascii="宋体" w:hAnsi="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16" w:type="dxa"/>
            <w:noWrap w:val="0"/>
            <w:vAlign w:val="top"/>
          </w:tcPr>
          <w:p>
            <w:pPr>
              <w:spacing w:before="93" w:after="156"/>
              <w:jc w:val="center"/>
              <w:rPr>
                <w:rFonts w:ascii="宋体" w:hAnsi="宋体"/>
              </w:rPr>
            </w:pPr>
            <w:r>
              <w:rPr>
                <w:rFonts w:ascii="宋体" w:hAnsi="宋体"/>
              </w:rPr>
              <w:t>1</w:t>
            </w:r>
          </w:p>
        </w:tc>
        <w:tc>
          <w:tcPr>
            <w:tcW w:w="3885" w:type="dxa"/>
            <w:noWrap w:val="0"/>
            <w:vAlign w:val="top"/>
          </w:tcPr>
          <w:p>
            <w:pPr>
              <w:spacing w:before="93" w:after="156"/>
              <w:jc w:val="center"/>
              <w:rPr>
                <w:rFonts w:hint="eastAsia" w:ascii="宋体" w:hAnsi="宋体"/>
              </w:rPr>
            </w:pPr>
            <w:r>
              <w:rPr>
                <w:rFonts w:hint="eastAsia" w:ascii="宋体" w:hAnsi="宋体"/>
                <w:highlight w:val="none"/>
              </w:rPr>
              <w:t>银行网银机器人，支持徽商银行、安徽省农村信用社和中国建设银行3家银行网银流水下载、账户查询、回单下载。</w:t>
            </w:r>
          </w:p>
        </w:tc>
        <w:tc>
          <w:tcPr>
            <w:tcW w:w="2755" w:type="dxa"/>
            <w:noWrap w:val="0"/>
            <w:vAlign w:val="top"/>
          </w:tcPr>
          <w:p>
            <w:pPr>
              <w:spacing w:before="93" w:after="156"/>
              <w:jc w:val="center"/>
              <w:rPr>
                <w:rFonts w:hint="eastAsia" w:ascii="宋体" w:hAnsi="宋体"/>
              </w:rPr>
            </w:pPr>
            <w:r>
              <w:rPr>
                <w:rFonts w:hint="eastAsia" w:ascii="宋体" w:hAnsi="宋体"/>
              </w:rPr>
              <w:t>1套</w:t>
            </w:r>
          </w:p>
        </w:tc>
        <w:tc>
          <w:tcPr>
            <w:tcW w:w="1216" w:type="dxa"/>
            <w:noWrap w:val="0"/>
            <w:vAlign w:val="top"/>
          </w:tcPr>
          <w:p>
            <w:pPr>
              <w:spacing w:before="93" w:after="156"/>
              <w:rPr>
                <w:rFonts w:ascii="宋体" w:hAnsi="宋体"/>
              </w:rPr>
            </w:pPr>
          </w:p>
        </w:tc>
      </w:tr>
    </w:tbl>
    <w:p>
      <w:pPr>
        <w:pStyle w:val="6"/>
        <w:numPr>
          <w:ilvl w:val="1"/>
          <w:numId w:val="0"/>
        </w:numPr>
        <w:spacing w:before="93" w:beforeLines="0" w:after="156" w:afterLines="0" w:line="480" w:lineRule="atLeast"/>
        <w:rPr>
          <w:rFonts w:ascii="宋体" w:hAnsi="宋体"/>
        </w:rPr>
      </w:pPr>
      <w:bookmarkStart w:id="10" w:name="_Toc53217156"/>
      <w:bookmarkStart w:id="11" w:name="_Toc116304868"/>
      <w:r>
        <w:rPr>
          <w:rFonts w:ascii="宋体" w:hAnsi="宋体"/>
        </w:rPr>
        <w:t>工作要求：</w:t>
      </w:r>
      <w:bookmarkEnd w:id="10"/>
      <w:bookmarkEnd w:id="11"/>
    </w:p>
    <w:p>
      <w:pPr>
        <w:pStyle w:val="14"/>
        <w:numPr>
          <w:ilvl w:val="0"/>
          <w:numId w:val="2"/>
        </w:numPr>
        <w:spacing w:before="93" w:beforeLines="0" w:after="156" w:afterLines="0" w:line="480" w:lineRule="atLeast"/>
        <w:ind w:firstLineChars="0"/>
        <w:rPr>
          <w:rFonts w:ascii="宋体" w:hAnsi="宋体" w:cs="Arial"/>
          <w:b/>
          <w:sz w:val="24"/>
        </w:rPr>
      </w:pPr>
      <w:bookmarkStart w:id="12" w:name="_Toc46177957"/>
      <w:bookmarkStart w:id="13" w:name="_Toc52369337"/>
      <w:bookmarkStart w:id="14" w:name="_Toc53217157"/>
      <w:r>
        <w:rPr>
          <w:rFonts w:hint="eastAsia" w:ascii="宋体" w:hAnsi="宋体" w:cs="Arial"/>
          <w:b/>
          <w:sz w:val="24"/>
        </w:rPr>
        <w:t>实施原则</w:t>
      </w:r>
      <w:bookmarkEnd w:id="12"/>
      <w:bookmarkEnd w:id="13"/>
      <w:bookmarkEnd w:id="14"/>
    </w:p>
    <w:p>
      <w:pPr>
        <w:tabs>
          <w:tab w:val="left" w:pos="720"/>
        </w:tabs>
        <w:adjustRightInd w:val="0"/>
        <w:snapToGrid w:val="0"/>
        <w:spacing w:before="93" w:after="156" w:line="360" w:lineRule="auto"/>
        <w:ind w:firstLine="460" w:firstLineChars="192"/>
        <w:rPr>
          <w:rFonts w:ascii="宋体" w:hAnsi="宋体" w:cs="Arial"/>
        </w:rPr>
      </w:pPr>
      <w:r>
        <w:rPr>
          <w:rFonts w:ascii="宋体" w:hAnsi="宋体" w:cs="Arial"/>
        </w:rPr>
        <w:t>规范性原则：成交供应商工作中的过程和文档，具有很好的规范性，可以便于项目的跟踪和控制；</w:t>
      </w:r>
    </w:p>
    <w:p>
      <w:pPr>
        <w:tabs>
          <w:tab w:val="left" w:pos="720"/>
        </w:tabs>
        <w:adjustRightInd w:val="0"/>
        <w:snapToGrid w:val="0"/>
        <w:spacing w:before="93" w:after="156" w:line="360" w:lineRule="auto"/>
        <w:ind w:firstLine="460" w:firstLineChars="192"/>
        <w:rPr>
          <w:rFonts w:ascii="宋体" w:hAnsi="宋体" w:cs="Arial"/>
        </w:rPr>
      </w:pPr>
      <w:r>
        <w:rPr>
          <w:rFonts w:hint="eastAsia" w:ascii="宋体" w:hAnsi="宋体" w:cs="Arial"/>
        </w:rPr>
        <w:t>成熟性原则：本次项目机器人流程自动化建设基于成熟的产品，具有集团架构应用的成功案例。</w:t>
      </w:r>
    </w:p>
    <w:p>
      <w:pPr>
        <w:tabs>
          <w:tab w:val="left" w:pos="720"/>
        </w:tabs>
        <w:adjustRightInd w:val="0"/>
        <w:snapToGrid w:val="0"/>
        <w:spacing w:before="93" w:after="156" w:line="360" w:lineRule="auto"/>
        <w:ind w:firstLine="460" w:firstLineChars="192"/>
        <w:rPr>
          <w:rFonts w:ascii="宋体" w:hAnsi="宋体" w:cs="Arial"/>
        </w:rPr>
      </w:pPr>
      <w:r>
        <w:rPr>
          <w:rFonts w:hint="eastAsia" w:ascii="宋体" w:hAnsi="宋体" w:cs="Arial"/>
        </w:rPr>
        <w:t>可靠性原则：要求系统安全、可靠地运行，系统应有容错能力，软件故障不应引起各类严重的系统再启动。除系统维护、数据备份等特殊情况之外，系统必须全天24小时安全可靠运行。</w:t>
      </w:r>
    </w:p>
    <w:p>
      <w:pPr>
        <w:tabs>
          <w:tab w:val="left" w:pos="720"/>
        </w:tabs>
        <w:adjustRightInd w:val="0"/>
        <w:snapToGrid w:val="0"/>
        <w:spacing w:before="93" w:after="156" w:line="360" w:lineRule="auto"/>
        <w:ind w:firstLine="460" w:firstLineChars="192"/>
        <w:rPr>
          <w:rFonts w:ascii="宋体" w:hAnsi="宋体" w:cs="Arial"/>
        </w:rPr>
      </w:pPr>
      <w:r>
        <w:rPr>
          <w:rFonts w:hint="eastAsia" w:ascii="宋体" w:hAnsi="宋体" w:cs="Arial"/>
        </w:rPr>
        <w:t>易用性原则：界面设计美观，简单易用，符合中国用户使用习惯。</w:t>
      </w:r>
    </w:p>
    <w:p>
      <w:pPr>
        <w:tabs>
          <w:tab w:val="left" w:pos="720"/>
        </w:tabs>
        <w:adjustRightInd w:val="0"/>
        <w:snapToGrid w:val="0"/>
        <w:spacing w:before="93" w:after="156" w:line="360" w:lineRule="auto"/>
        <w:ind w:firstLine="460" w:firstLineChars="192"/>
        <w:rPr>
          <w:rFonts w:ascii="宋体" w:hAnsi="宋体" w:cs="Arial"/>
        </w:rPr>
      </w:pPr>
      <w:r>
        <w:rPr>
          <w:rFonts w:hint="eastAsia" w:ascii="宋体" w:hAnsi="宋体" w:cs="Arial"/>
        </w:rPr>
        <w:t>安全性原则：（1）数据安全。系统应具有完善的用户和权限管理机制，保证数据的安全性，对关键数据采取多种访问权限的控制，保证数据的完整性、一致性和有效性；具备系统数据备份/恢复的功能。</w:t>
      </w:r>
    </w:p>
    <w:p>
      <w:pPr>
        <w:tabs>
          <w:tab w:val="left" w:pos="720"/>
        </w:tabs>
        <w:adjustRightInd w:val="0"/>
        <w:snapToGrid w:val="0"/>
        <w:spacing w:before="93" w:after="156" w:line="360" w:lineRule="auto"/>
        <w:ind w:firstLine="460" w:firstLineChars="192"/>
        <w:rPr>
          <w:rFonts w:ascii="宋体" w:hAnsi="宋体" w:cs="Arial"/>
        </w:rPr>
      </w:pPr>
      <w:r>
        <w:rPr>
          <w:rFonts w:hint="eastAsia" w:ascii="宋体" w:hAnsi="宋体" w:cs="Arial"/>
        </w:rPr>
        <w:t>（2）应用数据传输安全，保证用户、系统平台之间传输过程的数据的安全性、完整性以及不可抵赖性。</w:t>
      </w:r>
    </w:p>
    <w:p>
      <w:pPr>
        <w:pStyle w:val="2"/>
        <w:spacing w:before="93" w:after="156"/>
        <w:ind w:left="480" w:firstLine="480"/>
        <w:rPr>
          <w:rFonts w:hint="eastAsia"/>
        </w:rPr>
      </w:pPr>
    </w:p>
    <w:p>
      <w:pPr>
        <w:pStyle w:val="6"/>
        <w:numPr>
          <w:ilvl w:val="1"/>
          <w:numId w:val="0"/>
        </w:numPr>
        <w:spacing w:before="93" w:beforeLines="0" w:after="156" w:afterLines="0" w:line="480" w:lineRule="atLeast"/>
        <w:rPr>
          <w:rFonts w:ascii="宋体" w:hAnsi="宋体"/>
        </w:rPr>
      </w:pPr>
      <w:bookmarkStart w:id="15" w:name="_Toc116304869"/>
      <w:bookmarkStart w:id="16" w:name="_Toc53217159"/>
      <w:r>
        <w:rPr>
          <w:rFonts w:ascii="宋体" w:hAnsi="宋体"/>
        </w:rPr>
        <w:t>报价要求</w:t>
      </w:r>
      <w:bookmarkEnd w:id="15"/>
      <w:bookmarkEnd w:id="16"/>
    </w:p>
    <w:p>
      <w:pPr>
        <w:tabs>
          <w:tab w:val="left" w:pos="284"/>
        </w:tabs>
        <w:spacing w:before="93" w:after="156" w:line="360" w:lineRule="auto"/>
        <w:ind w:firstLine="480" w:firstLineChars="200"/>
        <w:jc w:val="left"/>
        <w:rPr>
          <w:rFonts w:ascii="宋体" w:hAnsi="宋体" w:cs="Arial"/>
        </w:rPr>
      </w:pPr>
      <w:r>
        <w:rPr>
          <w:rFonts w:ascii="宋体" w:hAnsi="宋体" w:cs="Arial"/>
        </w:rPr>
        <w:t>本项目报总价，报价包含完成本项目服务期间所产生的一切费用，采购人后期不再另行追加费用。</w:t>
      </w:r>
    </w:p>
    <w:p>
      <w:pPr>
        <w:pStyle w:val="6"/>
        <w:numPr>
          <w:ilvl w:val="1"/>
          <w:numId w:val="0"/>
        </w:numPr>
        <w:spacing w:before="93" w:beforeLines="0" w:after="156" w:afterLines="0" w:line="480" w:lineRule="atLeast"/>
        <w:rPr>
          <w:rFonts w:ascii="宋体" w:hAnsi="宋体"/>
        </w:rPr>
      </w:pPr>
      <w:bookmarkStart w:id="17" w:name="_Toc116304870"/>
      <w:bookmarkStart w:id="18" w:name="_Toc53217161"/>
      <w:r>
        <w:rPr>
          <w:rFonts w:ascii="宋体" w:hAnsi="宋体"/>
        </w:rPr>
        <w:t>验收标准</w:t>
      </w:r>
      <w:bookmarkEnd w:id="17"/>
      <w:bookmarkEnd w:id="18"/>
    </w:p>
    <w:p>
      <w:pPr>
        <w:pStyle w:val="15"/>
        <w:spacing w:before="93" w:after="156" w:line="360" w:lineRule="auto"/>
        <w:ind w:firstLine="480" w:firstLineChars="200"/>
        <w:rPr>
          <w:rFonts w:hAnsi="宋体"/>
        </w:rPr>
      </w:pPr>
      <w:r>
        <w:rPr>
          <w:rFonts w:hAnsi="宋体"/>
        </w:rPr>
        <w:t>本项目服务的验收将以</w:t>
      </w:r>
      <w:r>
        <w:rPr>
          <w:rFonts w:hint="eastAsia" w:hAnsi="宋体"/>
        </w:rPr>
        <w:t>最终上线的机器人流程稳定运行以及交付物符合合同约定</w:t>
      </w:r>
      <w:r>
        <w:rPr>
          <w:rFonts w:hAnsi="宋体"/>
        </w:rPr>
        <w:t>为准。</w:t>
      </w:r>
    </w:p>
    <w:p>
      <w:pPr>
        <w:spacing w:before="93" w:after="156"/>
        <w:rPr>
          <w:rFonts w:hint="eastAsia" w:ascii="宋体" w:hAnsi="宋体"/>
        </w:rPr>
      </w:pPr>
    </w:p>
    <w:p/>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72" w:after="1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spacing w:before="72" w:after="12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8"/>
                      <w:spacing w:before="72" w:after="1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72"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72"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72" w:after="120"/>
      <w:jc w:val="right"/>
      <w:rPr>
        <w:u w:val="single"/>
      </w:rPr>
    </w:pPr>
    <w:r>
      <w:rPr>
        <w:rFonts w:hint="eastAsia"/>
        <w:u w:val="single"/>
      </w:rPr>
      <w:t>2025年度安徽兴泰担保银行网银RPA机器人实施项目竞争性磋商文件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72"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72"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58484B"/>
    <w:multiLevelType w:val="multilevel"/>
    <w:tmpl w:val="1A58484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37075C"/>
    <w:multiLevelType w:val="multilevel"/>
    <w:tmpl w:val="6E37075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C59F6"/>
    <w:rsid w:val="5AEC5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30" w:beforeLines="30" w:after="50" w:afterLines="50" w:line="440" w:lineRule="atLeast"/>
      <w:jc w:val="both"/>
    </w:pPr>
    <w:rPr>
      <w:rFonts w:ascii="Calibri" w:hAnsi="Calibri" w:eastAsia="宋体" w:cs="Times New Roman"/>
      <w:kern w:val="2"/>
      <w:sz w:val="24"/>
      <w:szCs w:val="24"/>
      <w:lang w:val="en-US" w:eastAsia="zh-CN" w:bidi="ar-SA"/>
    </w:rPr>
  </w:style>
  <w:style w:type="paragraph" w:styleId="5">
    <w:name w:val="heading 1"/>
    <w:basedOn w:val="1"/>
    <w:next w:val="1"/>
    <w:qFormat/>
    <w:uiPriority w:val="0"/>
    <w:pPr>
      <w:keepNext/>
      <w:keepLines/>
      <w:spacing w:before="240" w:beforeLines="0" w:after="240" w:afterLines="0" w:line="300" w:lineRule="auto"/>
      <w:jc w:val="left"/>
      <w:outlineLvl w:val="0"/>
    </w:pPr>
    <w:rPr>
      <w:b/>
      <w:kern w:val="44"/>
      <w:sz w:val="28"/>
    </w:rPr>
  </w:style>
  <w:style w:type="paragraph" w:styleId="6">
    <w:name w:val="heading 2"/>
    <w:basedOn w:val="1"/>
    <w:next w:val="1"/>
    <w:qFormat/>
    <w:uiPriority w:val="0"/>
    <w:pPr>
      <w:keepNext/>
      <w:keepLines/>
      <w:spacing w:line="416" w:lineRule="atLeast"/>
      <w:jc w:val="left"/>
      <w:outlineLvl w:val="1"/>
    </w:pPr>
    <w:rPr>
      <w:rFonts w:ascii="等线 Light" w:hAnsi="等线 Light" w:cs="Times New Roman"/>
      <w:b/>
      <w:bCs/>
      <w:sz w:val="28"/>
      <w:szCs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annotation text"/>
    <w:basedOn w:val="1"/>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page number"/>
    <w:qFormat/>
    <w:uiPriority w:val="0"/>
  </w:style>
  <w:style w:type="character" w:styleId="13">
    <w:name w:val="annotation reference"/>
    <w:qFormat/>
    <w:uiPriority w:val="0"/>
    <w:rPr>
      <w:sz w:val="21"/>
      <w:szCs w:val="21"/>
    </w:rPr>
  </w:style>
  <w:style w:type="paragraph" w:styleId="14">
    <w:name w:val="List Paragraph"/>
    <w:basedOn w:val="1"/>
    <w:qFormat/>
    <w:uiPriority w:val="34"/>
    <w:pPr>
      <w:ind w:firstLine="420" w:firstLineChars="200"/>
    </w:pPr>
    <w:rPr>
      <w:rFonts w:hint="default" w:ascii="Calibri" w:hAnsi="Calibri" w:eastAsia="宋体" w:cs="Times New Roman"/>
      <w:sz w:val="21"/>
      <w:szCs w:val="22"/>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2025-06-25T07:53:00Z</dcterms:created>
  <dc:creator>Yu</dc:creator>
  <cp:lastModifiedBy>Yu</cp:lastModifiedBy>
  <dcterms:modified xsi:type="dcterms:W3CDTF">2025-06-25T07:56:15Z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657FC452A01E4CE4ABB348FD6772D7C8</vt:lpwstr>
  </property>
</Properties>
</file>